
<file path=[Content_Types].xml><?xml version="1.0" encoding="utf-8"?>
<Types xmlns="http://schemas.openxmlformats.org/package/2006/content-types">
  <Default Extension="png" ContentType="image/pn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6B3" w:rsidRPr="002E738F" w:rsidRDefault="00CB06B3" w:rsidP="00CB06B3">
      <w:pPr>
        <w:spacing w:line="560" w:lineRule="exact"/>
        <w:jc w:val="center"/>
        <w:rPr>
          <w:rFonts w:ascii="方正小标宋简体" w:eastAsia="方正小标宋简体" w:hAnsi="方正小标宋简体" w:hint="eastAsia"/>
          <w:sz w:val="44"/>
        </w:rPr>
      </w:pPr>
      <w:r w:rsidRPr="002E738F">
        <w:rPr>
          <w:rFonts w:ascii="方正小标宋简体" w:eastAsia="方正小标宋简体" w:hAnsi="方正小标宋简体" w:hint="eastAsia"/>
          <w:sz w:val="44"/>
        </w:rPr>
        <w:t>山东法院知识产权司法保护状况</w:t>
      </w:r>
    </w:p>
    <w:p w:rsidR="00CB06B3" w:rsidRPr="002E738F" w:rsidRDefault="00CB06B3" w:rsidP="00CB06B3">
      <w:pPr>
        <w:spacing w:line="560" w:lineRule="exact"/>
        <w:jc w:val="center"/>
        <w:rPr>
          <w:rFonts w:ascii="方正小标宋简体" w:eastAsia="方正小标宋简体" w:hAnsi="仿宋_GB2312" w:hint="eastAsia"/>
          <w:szCs w:val="32"/>
        </w:rPr>
      </w:pPr>
      <w:r w:rsidRPr="002E738F">
        <w:rPr>
          <w:rFonts w:ascii="方正小标宋简体" w:eastAsia="方正小标宋简体" w:hAnsi="方正小标宋简体" w:hint="eastAsia"/>
          <w:sz w:val="44"/>
        </w:rPr>
        <w:t>（2017年）</w:t>
      </w:r>
    </w:p>
    <w:p w:rsidR="00CB06B3" w:rsidRPr="0043581D" w:rsidRDefault="00CB06B3" w:rsidP="00CB06B3">
      <w:pPr>
        <w:spacing w:line="600" w:lineRule="exact"/>
        <w:ind w:firstLineChars="200" w:firstLine="640"/>
        <w:rPr>
          <w:rFonts w:ascii="仿宋_GB2312" w:hint="eastAsia"/>
          <w:szCs w:val="32"/>
        </w:rPr>
      </w:pPr>
      <w:r w:rsidRPr="000450FF">
        <w:rPr>
          <w:rFonts w:ascii="仿宋_GB2312" w:hint="eastAsia"/>
          <w:szCs w:val="32"/>
        </w:rPr>
        <w:t>201</w:t>
      </w:r>
      <w:r>
        <w:rPr>
          <w:rFonts w:ascii="仿宋_GB2312" w:hint="eastAsia"/>
          <w:szCs w:val="32"/>
        </w:rPr>
        <w:t>7</w:t>
      </w:r>
      <w:r w:rsidRPr="000450FF">
        <w:rPr>
          <w:rFonts w:ascii="仿宋_GB2312" w:hint="eastAsia"/>
          <w:szCs w:val="32"/>
        </w:rPr>
        <w:t>年，山东法院</w:t>
      </w:r>
      <w:r>
        <w:rPr>
          <w:rFonts w:ascii="仿宋_GB2312" w:hAnsi="楷体" w:hint="eastAsia"/>
          <w:szCs w:val="32"/>
        </w:rPr>
        <w:t>认真贯彻</w:t>
      </w:r>
      <w:r w:rsidRPr="00F26DB0">
        <w:rPr>
          <w:rFonts w:ascii="仿宋_GB2312" w:hint="eastAsia"/>
          <w:szCs w:val="32"/>
        </w:rPr>
        <w:t>党</w:t>
      </w:r>
      <w:r>
        <w:rPr>
          <w:rFonts w:ascii="仿宋_GB2312" w:hint="eastAsia"/>
          <w:szCs w:val="32"/>
        </w:rPr>
        <w:t>的</w:t>
      </w:r>
      <w:r w:rsidRPr="00F26DB0">
        <w:rPr>
          <w:rFonts w:ascii="仿宋_GB2312" w:hint="eastAsia"/>
          <w:szCs w:val="32"/>
        </w:rPr>
        <w:t>十八届七中全会、十九大、十九届一中全会精神</w:t>
      </w:r>
      <w:r w:rsidRPr="000450FF">
        <w:rPr>
          <w:rFonts w:ascii="仿宋_GB2312" w:hAnsi="楷体" w:hint="eastAsia"/>
          <w:szCs w:val="32"/>
        </w:rPr>
        <w:t>，</w:t>
      </w:r>
      <w:r w:rsidRPr="00023400">
        <w:rPr>
          <w:rFonts w:ascii="仿宋_GB2312" w:hint="eastAsia"/>
          <w:szCs w:val="32"/>
        </w:rPr>
        <w:t>紧紧围绕</w:t>
      </w:r>
      <w:r>
        <w:rPr>
          <w:rFonts w:ascii="仿宋_GB2312" w:hint="eastAsia"/>
          <w:szCs w:val="32"/>
        </w:rPr>
        <w:t>党和国家发展大局，始终坚持“保护知识产权就是保护创新”的理念，充分发挥知识产权审判“激励和保护创新、促进科技进步和社会发展”的职能作用，为推动创新驱动发展战略、加快</w:t>
      </w:r>
      <w:r w:rsidRPr="0043581D">
        <w:rPr>
          <w:rFonts w:ascii="仿宋_GB2312" w:hint="eastAsia"/>
          <w:szCs w:val="32"/>
        </w:rPr>
        <w:t>创新型省份</w:t>
      </w:r>
      <w:r>
        <w:rPr>
          <w:rFonts w:ascii="仿宋_GB2312" w:hint="eastAsia"/>
          <w:szCs w:val="32"/>
        </w:rPr>
        <w:t>建设</w:t>
      </w:r>
      <w:r w:rsidRPr="0043581D">
        <w:rPr>
          <w:rFonts w:ascii="仿宋_GB2312" w:hint="eastAsia"/>
          <w:szCs w:val="32"/>
        </w:rPr>
        <w:t>提供了有力的司法保障。</w:t>
      </w:r>
    </w:p>
    <w:p w:rsidR="00CB06B3" w:rsidRPr="000450FF" w:rsidRDefault="00CB06B3" w:rsidP="00CB06B3">
      <w:pPr>
        <w:spacing w:line="600" w:lineRule="exact"/>
        <w:ind w:firstLineChars="200" w:firstLine="640"/>
        <w:outlineLvl w:val="0"/>
        <w:rPr>
          <w:rFonts w:ascii="仿宋_GB2312" w:hAnsi="仿宋_GB2312" w:cs="宋体" w:hint="eastAsia"/>
          <w:bCs/>
          <w:color w:val="000000"/>
          <w:szCs w:val="32"/>
        </w:rPr>
      </w:pPr>
      <w:r w:rsidRPr="000450FF">
        <w:rPr>
          <w:rFonts w:ascii="黑体" w:eastAsia="黑体" w:hAnsi="黑体" w:cs="宋体" w:hint="eastAsia"/>
          <w:color w:val="000000"/>
          <w:szCs w:val="32"/>
        </w:rPr>
        <w:t>一、依法公正高效审理知识产权案件</w:t>
      </w:r>
    </w:p>
    <w:p w:rsidR="00CB06B3" w:rsidRDefault="00CB06B3" w:rsidP="00CB06B3">
      <w:pPr>
        <w:spacing w:line="600" w:lineRule="exact"/>
        <w:ind w:firstLineChars="200" w:firstLine="640"/>
        <w:rPr>
          <w:rFonts w:ascii="仿宋_GB2312" w:hint="eastAsia"/>
          <w:szCs w:val="32"/>
        </w:rPr>
      </w:pPr>
      <w:r w:rsidRPr="000450FF">
        <w:rPr>
          <w:rFonts w:ascii="仿宋_GB2312" w:hint="eastAsia"/>
          <w:szCs w:val="32"/>
        </w:rPr>
        <w:t>201</w:t>
      </w:r>
      <w:r>
        <w:rPr>
          <w:rFonts w:ascii="仿宋_GB2312" w:hint="eastAsia"/>
          <w:szCs w:val="32"/>
        </w:rPr>
        <w:t>7</w:t>
      </w:r>
      <w:r w:rsidRPr="000450FF">
        <w:rPr>
          <w:rFonts w:ascii="仿宋_GB2312" w:hint="eastAsia"/>
          <w:szCs w:val="32"/>
        </w:rPr>
        <w:t>年，全省各级法院共新收各类知识产权民事一审案件</w:t>
      </w:r>
      <w:r>
        <w:rPr>
          <w:rFonts w:ascii="仿宋_GB2312" w:hint="eastAsia"/>
          <w:szCs w:val="32"/>
        </w:rPr>
        <w:t>7914</w:t>
      </w:r>
      <w:r w:rsidRPr="000450FF">
        <w:rPr>
          <w:rFonts w:ascii="仿宋_GB2312" w:hint="eastAsia"/>
          <w:szCs w:val="32"/>
        </w:rPr>
        <w:t>件，同比</w:t>
      </w:r>
      <w:r>
        <w:rPr>
          <w:rFonts w:ascii="仿宋_GB2312" w:hint="eastAsia"/>
          <w:szCs w:val="32"/>
        </w:rPr>
        <w:t>基本持平</w:t>
      </w:r>
      <w:r w:rsidRPr="000450FF">
        <w:rPr>
          <w:rFonts w:ascii="仿宋_GB2312" w:hint="eastAsia"/>
          <w:szCs w:val="32"/>
        </w:rPr>
        <w:t>。其中，新收</w:t>
      </w:r>
      <w:r w:rsidRPr="00D55367">
        <w:rPr>
          <w:rFonts w:ascii="仿宋_GB2312" w:hint="eastAsia"/>
          <w:szCs w:val="32"/>
        </w:rPr>
        <w:t>商标权案件</w:t>
      </w:r>
      <w:r>
        <w:rPr>
          <w:rFonts w:ascii="仿宋_GB2312" w:hint="eastAsia"/>
          <w:szCs w:val="32"/>
        </w:rPr>
        <w:t>3758</w:t>
      </w:r>
      <w:r w:rsidRPr="00D55367">
        <w:rPr>
          <w:rFonts w:ascii="仿宋_GB2312" w:hint="eastAsia"/>
          <w:szCs w:val="32"/>
        </w:rPr>
        <w:t>件</w:t>
      </w:r>
      <w:r w:rsidRPr="000450FF">
        <w:rPr>
          <w:rFonts w:ascii="仿宋_GB2312" w:hint="eastAsia"/>
          <w:szCs w:val="32"/>
        </w:rPr>
        <w:t>，同比增长</w:t>
      </w:r>
      <w:r>
        <w:rPr>
          <w:rFonts w:ascii="仿宋_GB2312" w:hint="eastAsia"/>
          <w:szCs w:val="32"/>
        </w:rPr>
        <w:t>37</w:t>
      </w:r>
      <w:r w:rsidRPr="00D55367">
        <w:rPr>
          <w:rFonts w:ascii="仿宋_GB2312" w:hint="eastAsia"/>
          <w:szCs w:val="32"/>
        </w:rPr>
        <w:t>%</w:t>
      </w:r>
      <w:r w:rsidRPr="000450FF">
        <w:rPr>
          <w:rFonts w:ascii="仿宋_GB2312" w:hint="eastAsia"/>
          <w:szCs w:val="32"/>
        </w:rPr>
        <w:t>；</w:t>
      </w:r>
      <w:r>
        <w:rPr>
          <w:rFonts w:ascii="仿宋_GB2312" w:hint="eastAsia"/>
          <w:szCs w:val="32"/>
        </w:rPr>
        <w:t>专利</w:t>
      </w:r>
      <w:r w:rsidRPr="00D55367">
        <w:rPr>
          <w:rFonts w:ascii="仿宋_GB2312" w:hint="eastAsia"/>
          <w:szCs w:val="32"/>
        </w:rPr>
        <w:t>案件</w:t>
      </w:r>
      <w:r>
        <w:rPr>
          <w:rFonts w:ascii="仿宋_GB2312" w:hint="eastAsia"/>
          <w:szCs w:val="32"/>
        </w:rPr>
        <w:t>910</w:t>
      </w:r>
      <w:r w:rsidRPr="00D55367">
        <w:rPr>
          <w:rFonts w:ascii="仿宋_GB2312" w:hint="eastAsia"/>
          <w:szCs w:val="32"/>
        </w:rPr>
        <w:t>件</w:t>
      </w:r>
      <w:r w:rsidRPr="000450FF">
        <w:rPr>
          <w:rFonts w:ascii="仿宋_GB2312" w:hint="eastAsia"/>
          <w:szCs w:val="32"/>
        </w:rPr>
        <w:t>，同比增长</w:t>
      </w:r>
      <w:r>
        <w:rPr>
          <w:rFonts w:ascii="仿宋_GB2312" w:hint="eastAsia"/>
          <w:szCs w:val="32"/>
        </w:rPr>
        <w:t>34</w:t>
      </w:r>
      <w:r w:rsidRPr="00D55367">
        <w:rPr>
          <w:rFonts w:ascii="仿宋_GB2312" w:hint="eastAsia"/>
          <w:szCs w:val="32"/>
        </w:rPr>
        <w:t>%</w:t>
      </w:r>
      <w:r w:rsidRPr="000450FF">
        <w:rPr>
          <w:rFonts w:ascii="仿宋_GB2312" w:hint="eastAsia"/>
          <w:szCs w:val="32"/>
        </w:rPr>
        <w:t>；</w:t>
      </w:r>
      <w:r>
        <w:rPr>
          <w:rFonts w:ascii="仿宋_GB2312" w:hint="eastAsia"/>
          <w:szCs w:val="32"/>
        </w:rPr>
        <w:t>著作权案件2773件</w:t>
      </w:r>
      <w:r w:rsidRPr="000450FF">
        <w:rPr>
          <w:rFonts w:ascii="仿宋_GB2312" w:hint="eastAsia"/>
          <w:szCs w:val="32"/>
        </w:rPr>
        <w:t>，同比下降</w:t>
      </w:r>
      <w:r>
        <w:rPr>
          <w:rFonts w:ascii="仿宋_GB2312" w:hint="eastAsia"/>
          <w:szCs w:val="32"/>
        </w:rPr>
        <w:t>31%；</w:t>
      </w:r>
      <w:r w:rsidRPr="004D6192">
        <w:rPr>
          <w:rFonts w:ascii="仿宋_GB2312" w:hint="eastAsia"/>
          <w:szCs w:val="32"/>
        </w:rPr>
        <w:t>不正当竞争等其他知识产权案件</w:t>
      </w:r>
      <w:r>
        <w:rPr>
          <w:rFonts w:ascii="仿宋_GB2312" w:hint="eastAsia"/>
          <w:szCs w:val="32"/>
        </w:rPr>
        <w:t>385</w:t>
      </w:r>
      <w:r w:rsidRPr="004D6192">
        <w:rPr>
          <w:rFonts w:ascii="仿宋_GB2312" w:hint="eastAsia"/>
          <w:szCs w:val="32"/>
        </w:rPr>
        <w:t>件，同比</w:t>
      </w:r>
      <w:r>
        <w:rPr>
          <w:rFonts w:ascii="仿宋_GB2312" w:hint="eastAsia"/>
          <w:szCs w:val="32"/>
        </w:rPr>
        <w:t>增长77%</w:t>
      </w:r>
      <w:r w:rsidRPr="000450FF">
        <w:rPr>
          <w:rFonts w:ascii="仿宋_GB2312" w:hint="eastAsia"/>
          <w:szCs w:val="32"/>
        </w:rPr>
        <w:t>。共审结各类知识产权民事一审案件</w:t>
      </w:r>
      <w:r>
        <w:rPr>
          <w:rFonts w:ascii="仿宋_GB2312" w:hint="eastAsia"/>
          <w:szCs w:val="32"/>
        </w:rPr>
        <w:t>7828</w:t>
      </w:r>
      <w:r w:rsidRPr="000450FF">
        <w:rPr>
          <w:rFonts w:ascii="仿宋_GB2312" w:hint="eastAsia"/>
          <w:szCs w:val="32"/>
        </w:rPr>
        <w:t>件，同比增长</w:t>
      </w:r>
      <w:r>
        <w:rPr>
          <w:rFonts w:ascii="仿宋_GB2312" w:hint="eastAsia"/>
          <w:szCs w:val="32"/>
        </w:rPr>
        <w:t>3%。</w:t>
      </w:r>
      <w:r w:rsidRPr="000450FF">
        <w:rPr>
          <w:rFonts w:ascii="仿宋_GB2312" w:hint="eastAsia"/>
          <w:szCs w:val="32"/>
        </w:rPr>
        <w:t>共新收各类知识产权民事二审案件</w:t>
      </w:r>
      <w:r>
        <w:rPr>
          <w:rFonts w:ascii="仿宋_GB2312" w:hint="eastAsia"/>
          <w:szCs w:val="32"/>
        </w:rPr>
        <w:t>584</w:t>
      </w:r>
      <w:r w:rsidRPr="000450FF">
        <w:rPr>
          <w:rFonts w:ascii="仿宋_GB2312" w:hint="eastAsia"/>
          <w:szCs w:val="32"/>
        </w:rPr>
        <w:t>件</w:t>
      </w:r>
      <w:r>
        <w:rPr>
          <w:rFonts w:ascii="仿宋_GB2312" w:hint="eastAsia"/>
          <w:szCs w:val="32"/>
        </w:rPr>
        <w:t>，</w:t>
      </w:r>
      <w:r w:rsidRPr="000450FF">
        <w:rPr>
          <w:rFonts w:ascii="仿宋_GB2312" w:hint="eastAsia"/>
          <w:szCs w:val="32"/>
        </w:rPr>
        <w:t>同比增长</w:t>
      </w:r>
      <w:r>
        <w:rPr>
          <w:rFonts w:ascii="仿宋_GB2312" w:hint="eastAsia"/>
          <w:szCs w:val="32"/>
        </w:rPr>
        <w:t>29</w:t>
      </w:r>
      <w:r w:rsidRPr="000450FF">
        <w:rPr>
          <w:rFonts w:ascii="仿宋_GB2312" w:hint="eastAsia"/>
          <w:szCs w:val="32"/>
        </w:rPr>
        <w:t>%</w:t>
      </w:r>
      <w:r>
        <w:rPr>
          <w:rFonts w:ascii="仿宋_GB2312" w:hint="eastAsia"/>
          <w:szCs w:val="32"/>
        </w:rPr>
        <w:t>；审结565件</w:t>
      </w:r>
      <w:r w:rsidRPr="000450FF">
        <w:rPr>
          <w:rFonts w:ascii="仿宋_GB2312" w:hint="eastAsia"/>
          <w:szCs w:val="32"/>
        </w:rPr>
        <w:t>，同比增长</w:t>
      </w:r>
      <w:r>
        <w:rPr>
          <w:rFonts w:ascii="仿宋_GB2312" w:hint="eastAsia"/>
          <w:szCs w:val="32"/>
        </w:rPr>
        <w:t>25%</w:t>
      </w:r>
      <w:r w:rsidRPr="000450FF">
        <w:rPr>
          <w:rFonts w:ascii="仿宋_GB2312" w:hint="eastAsia"/>
          <w:szCs w:val="32"/>
        </w:rPr>
        <w:t>。</w:t>
      </w:r>
    </w:p>
    <w:p w:rsidR="00CB06B3" w:rsidRPr="00DC1B94" w:rsidRDefault="00CB06B3" w:rsidP="00CB06B3">
      <w:pPr>
        <w:spacing w:line="600" w:lineRule="exact"/>
        <w:ind w:firstLineChars="200" w:firstLine="640"/>
        <w:rPr>
          <w:rFonts w:ascii="仿宋_GB2312" w:hint="eastAsia"/>
          <w:szCs w:val="32"/>
        </w:rPr>
      </w:pPr>
      <w:r w:rsidRPr="000450FF">
        <w:rPr>
          <w:rFonts w:ascii="仿宋_GB2312" w:hint="eastAsia"/>
          <w:szCs w:val="32"/>
        </w:rPr>
        <w:t>201</w:t>
      </w:r>
      <w:r>
        <w:rPr>
          <w:rFonts w:ascii="仿宋_GB2312" w:hint="eastAsia"/>
          <w:szCs w:val="32"/>
        </w:rPr>
        <w:t>7</w:t>
      </w:r>
      <w:r w:rsidRPr="00A81A48">
        <w:rPr>
          <w:rFonts w:ascii="仿宋_GB2312" w:hint="eastAsia"/>
          <w:szCs w:val="32"/>
        </w:rPr>
        <w:t>年,山</w:t>
      </w:r>
      <w:r>
        <w:rPr>
          <w:rFonts w:ascii="仿宋_GB2312" w:hint="eastAsia"/>
          <w:szCs w:val="32"/>
        </w:rPr>
        <w:t>东法院知识产权案件纠纷总体呈现“三多一少”的特点，即“技术类案件增多、互联网案件增多、高标的额案件增多、改判发回案件减少”。体现了</w:t>
      </w:r>
      <w:r w:rsidRPr="006337E8">
        <w:rPr>
          <w:rFonts w:ascii="仿宋_GB2312" w:hint="eastAsia"/>
          <w:szCs w:val="32"/>
        </w:rPr>
        <w:t>当前形势下，知识经济活跃</w:t>
      </w:r>
      <w:r>
        <w:rPr>
          <w:rFonts w:ascii="仿宋_GB2312" w:hint="eastAsia"/>
          <w:szCs w:val="32"/>
        </w:rPr>
        <w:t>程</w:t>
      </w:r>
      <w:r w:rsidRPr="006337E8">
        <w:rPr>
          <w:rFonts w:ascii="仿宋_GB2312" w:hint="eastAsia"/>
          <w:szCs w:val="32"/>
        </w:rPr>
        <w:t>度高，</w:t>
      </w:r>
      <w:r>
        <w:rPr>
          <w:rFonts w:ascii="仿宋_GB2312" w:hint="eastAsia"/>
          <w:szCs w:val="32"/>
        </w:rPr>
        <w:t>纠纷争议社会影响大，</w:t>
      </w:r>
      <w:r w:rsidRPr="006337E8">
        <w:rPr>
          <w:rFonts w:ascii="仿宋_GB2312" w:hint="eastAsia"/>
          <w:szCs w:val="32"/>
        </w:rPr>
        <w:t>当事人</w:t>
      </w:r>
      <w:r>
        <w:rPr>
          <w:rFonts w:ascii="仿宋_GB2312" w:hint="eastAsia"/>
          <w:szCs w:val="32"/>
        </w:rPr>
        <w:t>及相关行业领域</w:t>
      </w:r>
      <w:r w:rsidRPr="006337E8">
        <w:rPr>
          <w:rFonts w:ascii="仿宋_GB2312" w:hint="eastAsia"/>
          <w:szCs w:val="32"/>
        </w:rPr>
        <w:t>对司法裁判预期高，</w:t>
      </w:r>
      <w:r>
        <w:rPr>
          <w:rFonts w:ascii="仿宋_GB2312" w:hint="eastAsia"/>
          <w:szCs w:val="32"/>
        </w:rPr>
        <w:t>知识产权</w:t>
      </w:r>
      <w:r w:rsidRPr="006337E8">
        <w:rPr>
          <w:rFonts w:ascii="仿宋_GB2312" w:hint="eastAsia"/>
          <w:szCs w:val="32"/>
        </w:rPr>
        <w:t>司法保护在定</w:t>
      </w:r>
      <w:r>
        <w:rPr>
          <w:rFonts w:ascii="仿宋_GB2312" w:hint="eastAsia"/>
          <w:szCs w:val="32"/>
        </w:rPr>
        <w:t>分</w:t>
      </w:r>
      <w:r w:rsidRPr="006337E8">
        <w:rPr>
          <w:rFonts w:ascii="仿宋_GB2312" w:hint="eastAsia"/>
          <w:szCs w:val="32"/>
        </w:rPr>
        <w:t>止争的同时还发挥着输出规则、引导新业态良性发展的重要作用。</w:t>
      </w:r>
      <w:r>
        <w:rPr>
          <w:rFonts w:ascii="仿宋_GB2312" w:hint="eastAsia"/>
          <w:szCs w:val="32"/>
        </w:rPr>
        <w:t>山东</w:t>
      </w:r>
      <w:r w:rsidRPr="00DC1B94">
        <w:rPr>
          <w:rFonts w:ascii="仿宋_GB2312" w:hint="eastAsia"/>
          <w:szCs w:val="32"/>
        </w:rPr>
        <w:t>法院坚持</w:t>
      </w:r>
      <w:r>
        <w:rPr>
          <w:rFonts w:ascii="仿宋_GB2312" w:hint="eastAsia"/>
          <w:szCs w:val="32"/>
        </w:rPr>
        <w:t>以“司法主导、严格保护、分类施策、比例协</w:t>
      </w:r>
      <w:r>
        <w:rPr>
          <w:rFonts w:ascii="仿宋_GB2312" w:hint="eastAsia"/>
          <w:szCs w:val="32"/>
        </w:rPr>
        <w:lastRenderedPageBreak/>
        <w:t>调”的知识产权司法保护政策为指引，大力实施</w:t>
      </w:r>
      <w:r w:rsidRPr="00DC1B94">
        <w:rPr>
          <w:rFonts w:ascii="仿宋_GB2312" w:hint="eastAsia"/>
          <w:szCs w:val="32"/>
        </w:rPr>
        <w:t>“</w:t>
      </w:r>
      <w:r>
        <w:rPr>
          <w:rFonts w:ascii="仿宋_GB2312" w:hint="eastAsia"/>
          <w:szCs w:val="32"/>
        </w:rPr>
        <w:t>精品案审判”工程</w:t>
      </w:r>
      <w:r w:rsidRPr="00DC1B94">
        <w:rPr>
          <w:rFonts w:ascii="仿宋_GB2312" w:hint="eastAsia"/>
          <w:szCs w:val="32"/>
        </w:rPr>
        <w:t>，积极应对新领域、新类型</w:t>
      </w:r>
      <w:r>
        <w:rPr>
          <w:rFonts w:ascii="仿宋_GB2312" w:hint="eastAsia"/>
          <w:szCs w:val="32"/>
        </w:rPr>
        <w:t>产业</w:t>
      </w:r>
      <w:r w:rsidRPr="00DC1B94">
        <w:rPr>
          <w:rFonts w:ascii="仿宋_GB2312" w:hint="eastAsia"/>
          <w:szCs w:val="32"/>
        </w:rPr>
        <w:t>的</w:t>
      </w:r>
      <w:r>
        <w:rPr>
          <w:rFonts w:ascii="仿宋_GB2312" w:hint="eastAsia"/>
          <w:szCs w:val="32"/>
        </w:rPr>
        <w:t>知识产权</w:t>
      </w:r>
      <w:r w:rsidRPr="00DC1B94">
        <w:rPr>
          <w:rFonts w:ascii="仿宋_GB2312" w:hint="eastAsia"/>
          <w:szCs w:val="32"/>
        </w:rPr>
        <w:t>法律问题，回应社会关切，发挥典型案例裁判规则对社会价值导向的引领作用。</w:t>
      </w:r>
    </w:p>
    <w:p w:rsidR="00CB06B3" w:rsidRPr="007349B6" w:rsidRDefault="00CB06B3" w:rsidP="00CB06B3">
      <w:pPr>
        <w:rPr>
          <w:rFonts w:hint="eastAsia"/>
        </w:rPr>
      </w:pPr>
      <w:r>
        <w:rPr>
          <w:noProof/>
        </w:rPr>
        <w:drawing>
          <wp:inline distT="0" distB="0" distL="0" distR="0">
            <wp:extent cx="5629275" cy="2533650"/>
            <wp:effectExtent l="0" t="0" r="0" b="0"/>
            <wp:docPr id="3" name="对象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noProof/>
        </w:rPr>
        <w:drawing>
          <wp:inline distT="0" distB="0" distL="0" distR="0">
            <wp:extent cx="5639045" cy="2651375"/>
            <wp:effectExtent l="12537" t="6100" r="6268" b="0"/>
            <wp:docPr id="1" name="图表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CB06B3" w:rsidRDefault="00CB06B3" w:rsidP="00CB06B3">
      <w:pPr>
        <w:spacing w:line="560" w:lineRule="exact"/>
        <w:ind w:firstLineChars="200" w:firstLine="640"/>
        <w:rPr>
          <w:rFonts w:ascii="仿宋_GB2312" w:hint="eastAsia"/>
          <w:szCs w:val="32"/>
        </w:rPr>
      </w:pPr>
      <w:r>
        <w:rPr>
          <w:rFonts w:ascii="楷体_GB2312" w:eastAsia="楷体_GB2312" w:hint="eastAsia"/>
          <w:szCs w:val="32"/>
        </w:rPr>
        <w:t>（一）妥善</w:t>
      </w:r>
      <w:r w:rsidRPr="00A81A48">
        <w:rPr>
          <w:rFonts w:ascii="楷体_GB2312" w:eastAsia="楷体_GB2312" w:hint="eastAsia"/>
          <w:szCs w:val="32"/>
        </w:rPr>
        <w:t>审理</w:t>
      </w:r>
      <w:r>
        <w:rPr>
          <w:rFonts w:ascii="楷体_GB2312" w:eastAsia="楷体_GB2312" w:hint="eastAsia"/>
          <w:szCs w:val="32"/>
        </w:rPr>
        <w:t>新型疑难案件，激励促进创新竞争</w:t>
      </w:r>
    </w:p>
    <w:p w:rsidR="00CB06B3" w:rsidRPr="00035C7C" w:rsidRDefault="00CB06B3" w:rsidP="00CB06B3">
      <w:pPr>
        <w:spacing w:line="560" w:lineRule="exact"/>
        <w:ind w:firstLineChars="200" w:firstLine="640"/>
        <w:rPr>
          <w:rFonts w:ascii="仿宋_GB2312" w:hint="eastAsia"/>
          <w:szCs w:val="32"/>
        </w:rPr>
      </w:pPr>
      <w:r w:rsidRPr="00AE29CB">
        <w:rPr>
          <w:rFonts w:ascii="仿宋_GB2312" w:hint="eastAsia"/>
          <w:szCs w:val="32"/>
        </w:rPr>
        <w:t>随着科技和经济的发展，知识产权案件涉及的争议</w:t>
      </w:r>
      <w:r>
        <w:rPr>
          <w:rFonts w:ascii="仿宋_GB2312" w:hint="eastAsia"/>
          <w:szCs w:val="32"/>
        </w:rPr>
        <w:t>类型越来越前沿，涉及的利益范围</w:t>
      </w:r>
      <w:r w:rsidRPr="00AE29CB">
        <w:rPr>
          <w:rFonts w:ascii="仿宋_GB2312" w:hint="eastAsia"/>
          <w:szCs w:val="32"/>
        </w:rPr>
        <w:t>越来越广泛</w:t>
      </w:r>
      <w:r>
        <w:rPr>
          <w:rFonts w:ascii="仿宋_GB2312" w:hint="eastAsia"/>
          <w:szCs w:val="32"/>
        </w:rPr>
        <w:t>。同时，大数据等新技术手段的应用也给知识产权纠纷的事实认定和妥善处理提供了选择</w:t>
      </w:r>
      <w:r w:rsidRPr="00AE29CB">
        <w:rPr>
          <w:rFonts w:ascii="仿宋_GB2312" w:hint="eastAsia"/>
          <w:szCs w:val="32"/>
        </w:rPr>
        <w:t>。</w:t>
      </w:r>
      <w:r>
        <w:rPr>
          <w:rFonts w:ascii="仿宋_GB2312" w:hint="eastAsia"/>
          <w:szCs w:val="32"/>
        </w:rPr>
        <w:t>例如：在“</w:t>
      </w:r>
      <w:r w:rsidRPr="00AE29CB">
        <w:rPr>
          <w:rFonts w:ascii="仿宋_GB2312" w:hint="eastAsia"/>
          <w:szCs w:val="32"/>
        </w:rPr>
        <w:t>幸福妈妈</w:t>
      </w:r>
      <w:r>
        <w:rPr>
          <w:rFonts w:ascii="仿宋_GB2312" w:hint="eastAsia"/>
          <w:szCs w:val="32"/>
        </w:rPr>
        <w:t>淘宝网店”</w:t>
      </w:r>
      <w:r w:rsidRPr="00AE29CB">
        <w:rPr>
          <w:rFonts w:ascii="仿宋_GB2312" w:hint="eastAsia"/>
          <w:szCs w:val="32"/>
        </w:rPr>
        <w:t>侵害著作权</w:t>
      </w:r>
      <w:r w:rsidRPr="00AE29CB">
        <w:rPr>
          <w:rFonts w:ascii="仿宋_GB2312" w:hint="eastAsia"/>
          <w:szCs w:val="32"/>
        </w:rPr>
        <w:lastRenderedPageBreak/>
        <w:t>纠纷案</w:t>
      </w:r>
      <w:r>
        <w:rPr>
          <w:rFonts w:ascii="仿宋_GB2312" w:hint="eastAsia"/>
          <w:szCs w:val="32"/>
        </w:rPr>
        <w:t>中，山东高院对淘宝网平台发布的网店交易数据依法作出事实认定，并据此判令淘宝网店承担50万元赔偿责任。在“旗鱼浏览器”</w:t>
      </w:r>
      <w:r w:rsidRPr="00AE29CB">
        <w:rPr>
          <w:rFonts w:ascii="仿宋_GB2312" w:hint="eastAsia"/>
          <w:szCs w:val="32"/>
        </w:rPr>
        <w:t>不正当竞争纠纷案</w:t>
      </w:r>
      <w:r>
        <w:rPr>
          <w:rFonts w:ascii="仿宋_GB2312" w:hint="eastAsia"/>
          <w:szCs w:val="32"/>
        </w:rPr>
        <w:t>中，山东高院认定浏览器屏蔽视频网站功能损害了他人合法经营模式，违反了反不正当竞争法，应当承担停止侵权、赔偿损失等责任。在“泰山国际马拉松”</w:t>
      </w:r>
      <w:r w:rsidRPr="00B903A9">
        <w:rPr>
          <w:rFonts w:ascii="仿宋_GB2312" w:hint="eastAsia"/>
          <w:szCs w:val="32"/>
        </w:rPr>
        <w:t>计算机网络域名及不正当竞争纠纷案</w:t>
      </w:r>
      <w:r>
        <w:rPr>
          <w:rFonts w:ascii="仿宋_GB2312" w:hint="eastAsia"/>
          <w:szCs w:val="32"/>
        </w:rPr>
        <w:t>中，山东高院认定由政府主导的马拉松赛事，其赛事名称、赛标、网络传媒等相关权益并不归属于赛事主办方或承办方，赛事承办方在相关赛事结束后，无权利用赛事资源对其单方举办的马拉松赛事进行宣传，以达到混淆公众、获取不正当收益的目的。此外，针对网络传播方式轻易快捷、易给权利人造成难以弥补损失的特点，人民法院积极采取临时措施，为权利人排忧解患，提供了全方位的保护。如</w:t>
      </w:r>
      <w:r w:rsidRPr="00035C7C">
        <w:rPr>
          <w:rFonts w:ascii="仿宋_GB2312" w:hint="eastAsia"/>
          <w:szCs w:val="32"/>
        </w:rPr>
        <w:t>青岛中院</w:t>
      </w:r>
      <w:r>
        <w:rPr>
          <w:rFonts w:ascii="仿宋_GB2312" w:hint="eastAsia"/>
          <w:szCs w:val="32"/>
        </w:rPr>
        <w:t>通过</w:t>
      </w:r>
      <w:r w:rsidRPr="00035C7C">
        <w:rPr>
          <w:rFonts w:ascii="仿宋_GB2312" w:hint="eastAsia"/>
          <w:szCs w:val="32"/>
        </w:rPr>
        <w:t>发布诉前禁令，</w:t>
      </w:r>
      <w:r>
        <w:rPr>
          <w:rFonts w:ascii="仿宋_GB2312" w:hint="eastAsia"/>
          <w:szCs w:val="32"/>
        </w:rPr>
        <w:t>先后</w:t>
      </w:r>
      <w:r w:rsidRPr="00035C7C">
        <w:rPr>
          <w:rFonts w:ascii="仿宋_GB2312" w:hint="eastAsia"/>
          <w:szCs w:val="32"/>
        </w:rPr>
        <w:t>制止了热播剧《大军师司马懿之军师联盟》</w:t>
      </w:r>
      <w:r>
        <w:rPr>
          <w:rFonts w:ascii="仿宋_GB2312" w:hint="eastAsia"/>
          <w:szCs w:val="32"/>
        </w:rPr>
        <w:t>、</w:t>
      </w:r>
      <w:r w:rsidRPr="00EE439F">
        <w:rPr>
          <w:rFonts w:ascii="仿宋_GB2312" w:hint="eastAsia"/>
          <w:szCs w:val="32"/>
        </w:rPr>
        <w:t>《秦时明月丽人心》</w:t>
      </w:r>
      <w:r w:rsidRPr="00035C7C">
        <w:rPr>
          <w:rFonts w:ascii="仿宋_GB2312" w:hint="eastAsia"/>
          <w:szCs w:val="32"/>
        </w:rPr>
        <w:t>的网络</w:t>
      </w:r>
      <w:r>
        <w:rPr>
          <w:rFonts w:ascii="仿宋_GB2312" w:hint="eastAsia"/>
          <w:szCs w:val="32"/>
        </w:rPr>
        <w:t>盗播行为，快捷有效地保护了权利人的</w:t>
      </w:r>
      <w:r w:rsidRPr="00035C7C">
        <w:rPr>
          <w:rFonts w:ascii="仿宋_GB2312" w:hint="eastAsia"/>
          <w:szCs w:val="32"/>
        </w:rPr>
        <w:t>权益。</w:t>
      </w:r>
    </w:p>
    <w:p w:rsidR="00CB06B3" w:rsidRDefault="00CB06B3" w:rsidP="00CB06B3">
      <w:pPr>
        <w:spacing w:line="560" w:lineRule="exact"/>
        <w:ind w:firstLine="640"/>
        <w:rPr>
          <w:rFonts w:ascii="楷体_GB2312" w:eastAsia="楷体_GB2312" w:hint="eastAsia"/>
          <w:szCs w:val="32"/>
        </w:rPr>
      </w:pPr>
      <w:r>
        <w:rPr>
          <w:rFonts w:ascii="楷体_GB2312" w:eastAsia="楷体_GB2312" w:hint="eastAsia"/>
          <w:szCs w:val="32"/>
        </w:rPr>
        <w:t>（二）打造输出典型指导性案件，发挥示范引领作用</w:t>
      </w:r>
    </w:p>
    <w:p w:rsidR="00CB06B3" w:rsidRPr="00BA2B9A" w:rsidRDefault="00CB06B3" w:rsidP="00CB06B3">
      <w:pPr>
        <w:spacing w:line="560" w:lineRule="exact"/>
        <w:ind w:firstLine="640"/>
        <w:rPr>
          <w:rFonts w:ascii="仿宋_GB2312" w:hint="eastAsia"/>
        </w:rPr>
      </w:pPr>
      <w:r w:rsidRPr="004E7BD1">
        <w:rPr>
          <w:rFonts w:ascii="仿宋_GB2312" w:hint="eastAsia"/>
          <w:szCs w:val="32"/>
        </w:rPr>
        <w:t>一直以来，山东法院</w:t>
      </w:r>
      <w:r>
        <w:rPr>
          <w:rFonts w:ascii="仿宋_GB2312" w:hint="eastAsia"/>
          <w:szCs w:val="32"/>
        </w:rPr>
        <w:t>积极实施</w:t>
      </w:r>
      <w:r w:rsidRPr="004E7BD1">
        <w:rPr>
          <w:rFonts w:ascii="仿宋_GB2312" w:hint="eastAsia"/>
          <w:szCs w:val="32"/>
        </w:rPr>
        <w:t>知识产权“精品案审判”工程，</w:t>
      </w:r>
      <w:r>
        <w:rPr>
          <w:rFonts w:ascii="仿宋_GB2312" w:hAnsi="仿宋_GB2312" w:hint="eastAsia"/>
        </w:rPr>
        <w:t>一是</w:t>
      </w:r>
      <w:r>
        <w:rPr>
          <w:rFonts w:ascii="仿宋_GB2312" w:cs="仿宋_GB2312" w:hint="eastAsia"/>
          <w:szCs w:val="32"/>
          <w:lang w:val="zh-CN"/>
        </w:rPr>
        <w:t>将新类型案件或具有代表性的典型案件，办成在案件所属领域有积极影响、被有关权威机关确认或司法解释认可的案件。如</w:t>
      </w:r>
      <w:r w:rsidRPr="00EE439F">
        <w:rPr>
          <w:rFonts w:ascii="仿宋_GB2312" w:hint="eastAsia"/>
          <w:szCs w:val="32"/>
        </w:rPr>
        <w:t>《</w:t>
      </w:r>
      <w:r>
        <w:rPr>
          <w:rFonts w:ascii="仿宋_GB2312" w:hint="eastAsia"/>
        </w:rPr>
        <w:t>最后的骑兵</w:t>
      </w:r>
      <w:r w:rsidRPr="00035C7C">
        <w:rPr>
          <w:rFonts w:ascii="仿宋_GB2312" w:hint="eastAsia"/>
          <w:szCs w:val="32"/>
        </w:rPr>
        <w:t>》</w:t>
      </w:r>
      <w:r>
        <w:rPr>
          <w:rFonts w:ascii="仿宋_GB2312" w:hint="eastAsia"/>
        </w:rPr>
        <w:t>电视剧</w:t>
      </w:r>
      <w:r w:rsidRPr="003C36C6">
        <w:rPr>
          <w:rFonts w:ascii="仿宋_GB2312" w:hint="eastAsia"/>
        </w:rPr>
        <w:t>著作权纠纷案</w:t>
      </w:r>
      <w:r>
        <w:rPr>
          <w:rFonts w:ascii="仿宋_GB2312" w:hint="eastAsia"/>
        </w:rPr>
        <w:t>，因涉及历史题材影视作品保护规则，</w:t>
      </w:r>
      <w:r w:rsidRPr="003C36C6">
        <w:rPr>
          <w:rFonts w:ascii="仿宋_GB2312" w:hint="eastAsia"/>
        </w:rPr>
        <w:t>被</w:t>
      </w:r>
      <w:r>
        <w:rPr>
          <w:rFonts w:ascii="仿宋_GB2312" w:hint="eastAsia"/>
        </w:rPr>
        <w:t>最高人民法院</w:t>
      </w:r>
      <w:r w:rsidRPr="003C36C6">
        <w:rPr>
          <w:rFonts w:ascii="仿宋_GB2312" w:hint="eastAsia"/>
        </w:rPr>
        <w:t>公布为第81</w:t>
      </w:r>
      <w:r>
        <w:rPr>
          <w:rFonts w:ascii="仿宋_GB2312" w:hint="eastAsia"/>
        </w:rPr>
        <w:t>号指导性案例；</w:t>
      </w:r>
      <w:r w:rsidRPr="003C36C6">
        <w:rPr>
          <w:rFonts w:ascii="仿宋_GB2312" w:hint="eastAsia"/>
        </w:rPr>
        <w:t>“美人榆”植物新品种权纠纷案</w:t>
      </w:r>
      <w:r>
        <w:rPr>
          <w:rFonts w:ascii="仿宋_GB2312" w:hint="eastAsia"/>
        </w:rPr>
        <w:t>，因涉及商业目的侵权认定规则，</w:t>
      </w:r>
      <w:r w:rsidRPr="003C36C6">
        <w:rPr>
          <w:rFonts w:ascii="仿宋_GB2312" w:hint="eastAsia"/>
        </w:rPr>
        <w:t>被</w:t>
      </w:r>
      <w:r>
        <w:rPr>
          <w:rFonts w:ascii="仿宋_GB2312" w:hint="eastAsia"/>
        </w:rPr>
        <w:t>最高人民法院</w:t>
      </w:r>
      <w:r w:rsidRPr="003C36C6">
        <w:rPr>
          <w:rFonts w:ascii="仿宋_GB2312" w:hint="eastAsia"/>
        </w:rPr>
        <w:t>评选为</w:t>
      </w:r>
      <w:r w:rsidRPr="00A81A48">
        <w:rPr>
          <w:rFonts w:ascii="楷体_GB2312" w:eastAsia="楷体_GB2312" w:hint="eastAsia"/>
          <w:szCs w:val="32"/>
        </w:rPr>
        <w:t>“2016年中国</w:t>
      </w:r>
      <w:r w:rsidRPr="00A81A48">
        <w:rPr>
          <w:rFonts w:ascii="楷体_GB2312" w:eastAsia="楷体_GB2312" w:hint="eastAsia"/>
          <w:szCs w:val="32"/>
        </w:rPr>
        <w:lastRenderedPageBreak/>
        <w:t>法院10大知识产权案件”；“WPS制表”著作权纠纷案，因涉及</w:t>
      </w:r>
      <w:r>
        <w:rPr>
          <w:rFonts w:ascii="仿宋_GB2312" w:hint="eastAsia"/>
        </w:rPr>
        <w:t>作品独创性高度认定规则，</w:t>
      </w:r>
      <w:r w:rsidRPr="003C36C6">
        <w:rPr>
          <w:rFonts w:ascii="仿宋_GB2312" w:hint="eastAsia"/>
        </w:rPr>
        <w:t>入选</w:t>
      </w:r>
      <w:r>
        <w:rPr>
          <w:rFonts w:ascii="仿宋_GB2312" w:hint="eastAsia"/>
        </w:rPr>
        <w:t>最高人民法院</w:t>
      </w:r>
      <w:r w:rsidRPr="003C36C6">
        <w:rPr>
          <w:rFonts w:ascii="仿宋_GB2312" w:hint="eastAsia"/>
        </w:rPr>
        <w:t>知识产权年度报告。</w:t>
      </w:r>
      <w:r>
        <w:rPr>
          <w:rFonts w:ascii="仿宋_GB2312" w:cs="仿宋_GB2312" w:hint="eastAsia"/>
          <w:szCs w:val="32"/>
          <w:lang w:val="zh-CN"/>
        </w:rPr>
        <w:t>二是将社会关注度高、影响面广、具有指导意义的案件，办成审理程序合法、实体裁判准确、体现立法精神、法律效果和社会效果有机统一、裁判结果能够被社会公众接受的案件。如</w:t>
      </w:r>
      <w:r w:rsidRPr="00197411">
        <w:rPr>
          <w:rFonts w:ascii="仿宋_GB2312" w:cs="仿宋_GB2312" w:hint="eastAsia"/>
          <w:szCs w:val="32"/>
          <w:lang w:val="zh-CN"/>
        </w:rPr>
        <w:t>“点火枪”发明专利侵权案</w:t>
      </w:r>
      <w:r>
        <w:rPr>
          <w:rFonts w:ascii="仿宋_GB2312" w:cs="仿宋_GB2312" w:hint="eastAsia"/>
          <w:szCs w:val="32"/>
          <w:lang w:val="zh-CN"/>
        </w:rPr>
        <w:t>、</w:t>
      </w:r>
      <w:r w:rsidRPr="00197411">
        <w:rPr>
          <w:rFonts w:ascii="仿宋_GB2312" w:cs="仿宋_GB2312" w:hint="eastAsia"/>
          <w:szCs w:val="32"/>
          <w:lang w:val="zh-CN"/>
        </w:rPr>
        <w:t>“拖拉机用油箱”实用新型专利侵权案</w:t>
      </w:r>
      <w:r>
        <w:rPr>
          <w:rFonts w:ascii="仿宋_GB2312" w:cs="仿宋_GB2312" w:hint="eastAsia"/>
          <w:szCs w:val="32"/>
          <w:lang w:val="zh-CN"/>
        </w:rPr>
        <w:t>、</w:t>
      </w:r>
      <w:r w:rsidRPr="00197411">
        <w:rPr>
          <w:rFonts w:ascii="仿宋_GB2312" w:cs="仿宋_GB2312" w:hint="eastAsia"/>
          <w:szCs w:val="32"/>
          <w:lang w:val="zh-CN"/>
        </w:rPr>
        <w:t>“甲带式给料机”商业秘密侵权案</w:t>
      </w:r>
      <w:r>
        <w:rPr>
          <w:rFonts w:ascii="仿宋_GB2312" w:cs="仿宋_GB2312" w:hint="eastAsia"/>
          <w:szCs w:val="32"/>
          <w:lang w:val="zh-CN"/>
        </w:rPr>
        <w:t>等三</w:t>
      </w:r>
      <w:r w:rsidRPr="00A05F15">
        <w:rPr>
          <w:rFonts w:ascii="仿宋_GB2312" w:cs="仿宋_GB2312" w:hint="eastAsia"/>
          <w:szCs w:val="32"/>
          <w:lang w:val="zh-CN"/>
        </w:rPr>
        <w:t>起</w:t>
      </w:r>
      <w:r>
        <w:rPr>
          <w:rFonts w:ascii="仿宋_GB2312" w:cs="仿宋_GB2312" w:hint="eastAsia"/>
          <w:szCs w:val="32"/>
          <w:lang w:val="zh-CN"/>
        </w:rPr>
        <w:t>案件，因涉及对专利法司法解释新规定的法律适用以及举证妨碍规则的具体适用</w:t>
      </w:r>
      <w:r w:rsidRPr="00A81A48">
        <w:rPr>
          <w:rFonts w:ascii="楷体_GB2312" w:eastAsia="楷体_GB2312" w:hint="eastAsia"/>
          <w:szCs w:val="32"/>
        </w:rPr>
        <w:t>，均被最高人民法院评选为“2016年中国法院50件典型知识产权案例”；霍尼韦尔公司“BENDIX”商标侵权</w:t>
      </w:r>
      <w:r w:rsidRPr="003C36C6">
        <w:rPr>
          <w:rFonts w:ascii="仿宋_GB2312" w:hint="eastAsia"/>
        </w:rPr>
        <w:t>案</w:t>
      </w:r>
      <w:r>
        <w:rPr>
          <w:rFonts w:ascii="仿宋_GB2312" w:hint="eastAsia"/>
        </w:rPr>
        <w:t>因“刺破法人面纱”，</w:t>
      </w:r>
      <w:r>
        <w:rPr>
          <w:rFonts w:ascii="仿宋_GB2312" w:hint="eastAsia"/>
          <w:szCs w:val="32"/>
        </w:rPr>
        <w:t>从源头打击侵权行为，</w:t>
      </w:r>
      <w:r>
        <w:rPr>
          <w:rFonts w:ascii="仿宋_GB2312" w:hint="eastAsia"/>
        </w:rPr>
        <w:t>被中国外商投资企业协会优质品牌保护委员会</w:t>
      </w:r>
      <w:r w:rsidRPr="003C36C6">
        <w:rPr>
          <w:rFonts w:ascii="仿宋_GB2312" w:hint="eastAsia"/>
        </w:rPr>
        <w:t>评选为“2016-2017</w:t>
      </w:r>
      <w:r>
        <w:rPr>
          <w:rFonts w:ascii="仿宋_GB2312" w:hint="eastAsia"/>
        </w:rPr>
        <w:t>年度知识产权保护十佳案例”。</w:t>
      </w:r>
    </w:p>
    <w:p w:rsidR="00CB06B3" w:rsidRDefault="00CB06B3" w:rsidP="00CB06B3">
      <w:pPr>
        <w:spacing w:line="560" w:lineRule="exact"/>
        <w:ind w:firstLineChars="200" w:firstLine="640"/>
        <w:rPr>
          <w:rFonts w:ascii="仿宋_GB2312" w:hint="eastAsia"/>
          <w:szCs w:val="32"/>
        </w:rPr>
      </w:pPr>
      <w:r>
        <w:rPr>
          <w:rFonts w:ascii="楷体_GB2312" w:eastAsia="楷体_GB2312" w:hint="eastAsia"/>
          <w:szCs w:val="32"/>
        </w:rPr>
        <w:t>（三）平等保护中外当事人合法权益，营造良好市场环境</w:t>
      </w:r>
    </w:p>
    <w:p w:rsidR="00CB06B3" w:rsidRDefault="00CB06B3" w:rsidP="00CB06B3">
      <w:pPr>
        <w:spacing w:line="560" w:lineRule="exact"/>
        <w:ind w:firstLineChars="200" w:firstLine="640"/>
        <w:rPr>
          <w:rFonts w:hint="eastAsia"/>
        </w:rPr>
      </w:pPr>
      <w:r>
        <w:rPr>
          <w:rFonts w:ascii="仿宋_GB2312" w:hint="eastAsia"/>
          <w:szCs w:val="32"/>
        </w:rPr>
        <w:t>知识产权日益成为国际市场的核心竞争力，并对实体经济发挥着愈加重要的影响力。越来越多的外国当事人选择走进中国法院，通过诉讼达到解决争端、净化市场的目的。同时，也存在一部分投机者</w:t>
      </w:r>
      <w:r>
        <w:rPr>
          <w:rFonts w:ascii="仿宋_GB2312" w:hAnsi="仿宋_GB2312" w:cs="仿宋_GB2312" w:hint="eastAsia"/>
          <w:szCs w:val="32"/>
        </w:rPr>
        <w:t>滥用知识产权，企图通过诉讼手段达到限制他人正当竞争、占领市场的目的。</w:t>
      </w:r>
      <w:r w:rsidRPr="00A81A48">
        <w:rPr>
          <w:rFonts w:ascii="楷体_GB2312" w:eastAsia="楷体_GB2312" w:hint="eastAsia"/>
          <w:szCs w:val="32"/>
        </w:rPr>
        <w:t>山东法院始终</w:t>
      </w:r>
      <w:r>
        <w:rPr>
          <w:rFonts w:ascii="仿宋_GB2312" w:hint="eastAsia"/>
          <w:szCs w:val="32"/>
        </w:rPr>
        <w:t>坚持平等保护原则，一方面，对诚实经营的权利人给予应有的严格保护，坚决打击侵权行为。如在</w:t>
      </w:r>
      <w:r w:rsidRPr="007359B0">
        <w:rPr>
          <w:rFonts w:ascii="仿宋_GB2312" w:hint="eastAsia"/>
          <w:szCs w:val="32"/>
        </w:rPr>
        <w:t>美国斯凯霍普公司(SKIP HOP INC.)与金华市永琪服饰有限公司</w:t>
      </w:r>
      <w:r>
        <w:rPr>
          <w:rFonts w:ascii="仿宋_GB2312" w:hint="eastAsia"/>
          <w:szCs w:val="32"/>
        </w:rPr>
        <w:t>等侵害商标权纠纷案中，青岛中院认定被诉中国企业</w:t>
      </w:r>
      <w:r>
        <w:rPr>
          <w:rFonts w:hint="eastAsia"/>
        </w:rPr>
        <w:t>与国际知名品牌长期合作，</w:t>
      </w:r>
      <w:r>
        <w:rPr>
          <w:rFonts w:hint="eastAsia"/>
        </w:rPr>
        <w:lastRenderedPageBreak/>
        <w:t>明知涉</w:t>
      </w:r>
      <w:r>
        <w:rPr>
          <w:rFonts w:ascii="仿宋_GB2312" w:hint="eastAsia"/>
          <w:szCs w:val="32"/>
        </w:rPr>
        <w:t>案</w:t>
      </w:r>
      <w:r>
        <w:rPr>
          <w:rFonts w:hint="eastAsia"/>
        </w:rPr>
        <w:t>商标知名度，仍</w:t>
      </w:r>
      <w:r>
        <w:rPr>
          <w:rFonts w:ascii="仿宋_GB2312" w:hint="eastAsia"/>
          <w:szCs w:val="32"/>
        </w:rPr>
        <w:t>生产销售被诉儿童书包，</w:t>
      </w:r>
      <w:r>
        <w:rPr>
          <w:rFonts w:hint="eastAsia"/>
        </w:rPr>
        <w:t>侵权主观恶意明显，依法全额支持了</w:t>
      </w:r>
      <w:r w:rsidRPr="00154FC6">
        <w:rPr>
          <w:rFonts w:ascii="仿宋_GB2312" w:hint="eastAsia"/>
        </w:rPr>
        <w:t>美国公司75</w:t>
      </w:r>
      <w:r>
        <w:rPr>
          <w:rFonts w:hint="eastAsia"/>
        </w:rPr>
        <w:t>万元的赔偿诉讼请求。</w:t>
      </w:r>
      <w:r>
        <w:rPr>
          <w:rFonts w:ascii="仿宋_GB2312" w:hint="eastAsia"/>
          <w:szCs w:val="32"/>
        </w:rPr>
        <w:t>另一方面，对于披着权利外衣的“权利人”，则对其滥用知识产权的行为予以坚决制止。</w:t>
      </w:r>
      <w:r>
        <w:rPr>
          <w:rFonts w:hint="eastAsia"/>
        </w:rPr>
        <w:t>如在</w:t>
      </w:r>
      <w:r w:rsidRPr="00226A80">
        <w:rPr>
          <w:rFonts w:ascii="仿宋_GB2312" w:hint="eastAsia"/>
        </w:rPr>
        <w:t>烟台煜星服装有限公司</w:t>
      </w:r>
      <w:r>
        <w:rPr>
          <w:rFonts w:ascii="仿宋_GB2312" w:hint="eastAsia"/>
        </w:rPr>
        <w:t>与曾培瑞（澳大利亚籍华人）确认不</w:t>
      </w:r>
      <w:r w:rsidRPr="00DA6727">
        <w:rPr>
          <w:rFonts w:ascii="仿宋_GB2312" w:hint="eastAsia"/>
        </w:rPr>
        <w:t>侵害</w:t>
      </w:r>
      <w:r>
        <w:rPr>
          <w:rFonts w:ascii="仿宋_GB2312" w:hint="eastAsia"/>
        </w:rPr>
        <w:t>商标权</w:t>
      </w:r>
      <w:r w:rsidRPr="00DA6727">
        <w:rPr>
          <w:rFonts w:ascii="仿宋_GB2312" w:hint="eastAsia"/>
        </w:rPr>
        <w:t>纠纷案</w:t>
      </w:r>
      <w:r>
        <w:rPr>
          <w:rFonts w:ascii="仿宋_GB2312" w:hint="eastAsia"/>
        </w:rPr>
        <w:t>中，山东高院依法认定中国代工企业接受澳大利亚公司委托，定牌加工</w:t>
      </w:r>
      <w:r w:rsidRPr="000F0CA4">
        <w:rPr>
          <w:rFonts w:ascii="仿宋_GB2312" w:hint="eastAsia"/>
        </w:rPr>
        <w:t>“</w:t>
      </w:r>
      <w:r>
        <w:rPr>
          <w:rFonts w:ascii="仿宋_GB2312" w:hAnsi="黑体" w:hint="eastAsia"/>
          <w:noProof/>
          <w:szCs w:val="32"/>
        </w:rPr>
        <w:drawing>
          <wp:inline distT="0" distB="0" distL="0" distR="0">
            <wp:extent cx="666750" cy="28575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666750" cy="285750"/>
                    </a:xfrm>
                    <a:prstGeom prst="rect">
                      <a:avLst/>
                    </a:prstGeom>
                    <a:noFill/>
                    <a:ln w="9525">
                      <a:noFill/>
                      <a:miter lim="800000"/>
                      <a:headEnd/>
                      <a:tailEnd/>
                    </a:ln>
                  </pic:spPr>
                </pic:pic>
              </a:graphicData>
            </a:graphic>
          </wp:inline>
        </w:drawing>
      </w:r>
      <w:r w:rsidRPr="000F0CA4">
        <w:rPr>
          <w:rFonts w:ascii="仿宋_GB2312" w:hint="eastAsia"/>
        </w:rPr>
        <w:t>”</w:t>
      </w:r>
      <w:r>
        <w:rPr>
          <w:rFonts w:ascii="仿宋_GB2312" w:hint="eastAsia"/>
        </w:rPr>
        <w:t>品牌服装并出口至澳大利亚的行为不构成商标侵权，对曾培瑞借注册商标阻却中国企业正常经营的行为不予保护。</w:t>
      </w:r>
    </w:p>
    <w:p w:rsidR="00CB06B3" w:rsidRPr="000450FF" w:rsidRDefault="00CB06B3" w:rsidP="00CB06B3">
      <w:pPr>
        <w:spacing w:line="560" w:lineRule="exact"/>
        <w:ind w:firstLineChars="200" w:firstLine="640"/>
        <w:outlineLvl w:val="0"/>
        <w:rPr>
          <w:rFonts w:ascii="黑体" w:eastAsia="黑体" w:hAnsi="黑体" w:hint="eastAsia"/>
          <w:szCs w:val="32"/>
        </w:rPr>
      </w:pPr>
      <w:r w:rsidRPr="000450FF">
        <w:rPr>
          <w:rFonts w:ascii="黑体" w:eastAsia="黑体" w:hAnsi="黑体" w:hint="eastAsia"/>
          <w:szCs w:val="32"/>
        </w:rPr>
        <w:t>二、</w:t>
      </w:r>
      <w:r>
        <w:rPr>
          <w:rFonts w:ascii="黑体" w:eastAsia="黑体" w:hAnsi="黑体" w:hint="eastAsia"/>
          <w:szCs w:val="32"/>
        </w:rPr>
        <w:t>完善知识产权司法保护体制机制</w:t>
      </w:r>
    </w:p>
    <w:p w:rsidR="00CB06B3" w:rsidRPr="006F5FA6" w:rsidRDefault="00CB06B3" w:rsidP="00CB06B3">
      <w:pPr>
        <w:spacing w:line="560" w:lineRule="exact"/>
        <w:ind w:firstLineChars="200" w:firstLine="640"/>
        <w:rPr>
          <w:rFonts w:ascii="仿宋_GB2312" w:hAnsi="宋体" w:hint="eastAsia"/>
          <w:szCs w:val="32"/>
        </w:rPr>
      </w:pPr>
      <w:r w:rsidRPr="006F5FA6">
        <w:rPr>
          <w:rFonts w:ascii="仿宋_GB2312" w:hAnsi="宋体" w:hint="eastAsia"/>
          <w:szCs w:val="32"/>
        </w:rPr>
        <w:t>山东法院紧紧围绕新发展理念，</w:t>
      </w:r>
      <w:r w:rsidRPr="00552B2F">
        <w:rPr>
          <w:rFonts w:ascii="仿宋_GB2312" w:hint="eastAsia"/>
          <w:szCs w:val="32"/>
        </w:rPr>
        <w:t>找准知识产权审判</w:t>
      </w:r>
      <w:r>
        <w:rPr>
          <w:rFonts w:ascii="仿宋_GB2312" w:hAnsi="宋体" w:hint="eastAsia"/>
          <w:szCs w:val="32"/>
        </w:rPr>
        <w:t>服务党和国家工作大局</w:t>
      </w:r>
      <w:r w:rsidRPr="00552B2F">
        <w:rPr>
          <w:rFonts w:ascii="仿宋_GB2312" w:hint="eastAsia"/>
          <w:szCs w:val="32"/>
        </w:rPr>
        <w:t>的着力点</w:t>
      </w:r>
      <w:r>
        <w:rPr>
          <w:rFonts w:ascii="仿宋_GB2312" w:hint="eastAsia"/>
          <w:szCs w:val="32"/>
        </w:rPr>
        <w:t>，</w:t>
      </w:r>
      <w:r>
        <w:rPr>
          <w:rFonts w:ascii="仿宋_GB2312" w:hAnsi="宋体" w:hint="eastAsia"/>
          <w:szCs w:val="32"/>
        </w:rPr>
        <w:t>深化审判体制机制改革，申请设立济南、青岛</w:t>
      </w:r>
      <w:r w:rsidRPr="006F5FA6">
        <w:rPr>
          <w:rFonts w:ascii="仿宋_GB2312" w:hAnsi="宋体" w:hint="eastAsia"/>
          <w:szCs w:val="32"/>
        </w:rPr>
        <w:t>知识产权法庭实行跨区域管辖，增设多个基层法院管辖一般知识产权案件并开展“三合一”审判，充分发挥</w:t>
      </w:r>
      <w:r>
        <w:rPr>
          <w:rFonts w:ascii="仿宋_GB2312" w:hAnsi="宋体" w:hint="eastAsia"/>
          <w:szCs w:val="32"/>
        </w:rPr>
        <w:t>了</w:t>
      </w:r>
      <w:r w:rsidRPr="006F5FA6">
        <w:rPr>
          <w:rFonts w:ascii="仿宋_GB2312" w:hAnsi="宋体" w:hint="eastAsia"/>
          <w:szCs w:val="32"/>
        </w:rPr>
        <w:t>司法保护知识产权的主导作用</w:t>
      </w:r>
      <w:r>
        <w:rPr>
          <w:rFonts w:ascii="仿宋_GB2312" w:hAnsi="宋体" w:hint="eastAsia"/>
          <w:szCs w:val="32"/>
        </w:rPr>
        <w:t>。</w:t>
      </w:r>
    </w:p>
    <w:p w:rsidR="00CB06B3" w:rsidRDefault="00CB06B3" w:rsidP="00CB06B3">
      <w:pPr>
        <w:snapToGrid w:val="0"/>
        <w:spacing w:line="560" w:lineRule="exact"/>
        <w:ind w:firstLineChars="200" w:firstLine="640"/>
        <w:rPr>
          <w:rFonts w:ascii="楷体_GB2312" w:eastAsia="楷体_GB2312" w:hAnsi="楷体" w:hint="eastAsia"/>
          <w:szCs w:val="32"/>
        </w:rPr>
      </w:pPr>
      <w:r>
        <w:rPr>
          <w:rFonts w:ascii="楷体_GB2312" w:eastAsia="楷体_GB2312" w:hAnsi="宋体" w:hint="eastAsia"/>
          <w:szCs w:val="32"/>
        </w:rPr>
        <w:t>（一）</w:t>
      </w:r>
      <w:r w:rsidRPr="001653A2">
        <w:rPr>
          <w:rFonts w:ascii="楷体_GB2312" w:eastAsia="楷体_GB2312" w:hAnsi="宋体" w:hint="eastAsia"/>
          <w:szCs w:val="32"/>
        </w:rPr>
        <w:t>设立知识产权专业化审判机构</w:t>
      </w:r>
    </w:p>
    <w:p w:rsidR="00CB06B3" w:rsidRPr="001653A2" w:rsidRDefault="00CB06B3" w:rsidP="00CB06B3">
      <w:pPr>
        <w:snapToGrid w:val="0"/>
        <w:spacing w:line="560" w:lineRule="exact"/>
        <w:ind w:firstLineChars="200" w:firstLine="640"/>
        <w:rPr>
          <w:rFonts w:ascii="仿宋_GB2312" w:hAnsi="楷体" w:hint="eastAsia"/>
          <w:szCs w:val="32"/>
        </w:rPr>
      </w:pPr>
      <w:r>
        <w:rPr>
          <w:rFonts w:ascii="仿宋_GB2312" w:hAnsi="楷体" w:hint="eastAsia"/>
          <w:szCs w:val="32"/>
        </w:rPr>
        <w:t>为</w:t>
      </w:r>
      <w:r>
        <w:rPr>
          <w:rFonts w:ascii="仿宋_GB2312" w:hint="eastAsia"/>
          <w:szCs w:val="32"/>
        </w:rPr>
        <w:t>适应新时代知识产权司法事业的新要求和新特点</w:t>
      </w:r>
      <w:r>
        <w:rPr>
          <w:rFonts w:ascii="仿宋_GB2312" w:hAnsi="楷体" w:hint="eastAsia"/>
          <w:szCs w:val="32"/>
        </w:rPr>
        <w:t>，建设新型审判机构、提升司法专业化，2017</w:t>
      </w:r>
      <w:r w:rsidRPr="001653A2">
        <w:rPr>
          <w:rFonts w:ascii="仿宋_GB2312" w:hAnsi="楷体" w:hint="eastAsia"/>
          <w:szCs w:val="32"/>
        </w:rPr>
        <w:t>年9月，经</w:t>
      </w:r>
      <w:r>
        <w:rPr>
          <w:rFonts w:ascii="仿宋_GB2312" w:hAnsi="楷体" w:hint="eastAsia"/>
          <w:szCs w:val="32"/>
        </w:rPr>
        <w:t>最高人民法院</w:t>
      </w:r>
      <w:r w:rsidRPr="001653A2">
        <w:rPr>
          <w:rFonts w:ascii="仿宋_GB2312" w:hAnsi="楷体" w:hint="eastAsia"/>
          <w:szCs w:val="32"/>
        </w:rPr>
        <w:t>批准，</w:t>
      </w:r>
      <w:r>
        <w:rPr>
          <w:rFonts w:ascii="仿宋_GB2312" w:hAnsi="楷体" w:hint="eastAsia"/>
          <w:szCs w:val="32"/>
        </w:rPr>
        <w:t>济南、青岛两个知识产权法庭挂牌成立，</w:t>
      </w:r>
      <w:r w:rsidRPr="001653A2">
        <w:rPr>
          <w:rFonts w:ascii="仿宋_GB2312" w:hAnsi="楷体" w:hint="eastAsia"/>
          <w:szCs w:val="32"/>
        </w:rPr>
        <w:t>实行跨区域审理专利等技术类知识产权纠纷案件。</w:t>
      </w:r>
      <w:r>
        <w:rPr>
          <w:rFonts w:ascii="仿宋_GB2312" w:hAnsi="楷体" w:hint="eastAsia"/>
          <w:szCs w:val="32"/>
        </w:rPr>
        <w:t>知识产权法庭的设立是推进审判机构专门化、审判人员专职化、审判工作专业化的重要改革举措。下一步，山东高院将继续</w:t>
      </w:r>
      <w:r w:rsidRPr="001653A2">
        <w:rPr>
          <w:rFonts w:ascii="仿宋_GB2312" w:hAnsi="楷体" w:hint="eastAsia"/>
          <w:szCs w:val="32"/>
        </w:rPr>
        <w:t>加强对济南、青岛两个知识产权法庭的业务指导，</w:t>
      </w:r>
      <w:r>
        <w:rPr>
          <w:rFonts w:ascii="仿宋_GB2312" w:hAnsi="楷体" w:hint="eastAsia"/>
          <w:szCs w:val="32"/>
        </w:rPr>
        <w:t>培养</w:t>
      </w:r>
      <w:r>
        <w:rPr>
          <w:rFonts w:ascii="仿宋_GB2312" w:hint="eastAsia"/>
          <w:szCs w:val="32"/>
        </w:rPr>
        <w:t>政治坚定、服务大局、精通法律、熟悉技术、具有国际视野的知识产权审</w:t>
      </w:r>
      <w:r>
        <w:rPr>
          <w:rFonts w:ascii="仿宋_GB2312" w:hint="eastAsia"/>
          <w:szCs w:val="32"/>
        </w:rPr>
        <w:lastRenderedPageBreak/>
        <w:t>判队伍。充分发挥济南、青岛</w:t>
      </w:r>
      <w:r>
        <w:rPr>
          <w:rFonts w:ascii="仿宋_GB2312" w:hAnsi="楷体" w:hint="eastAsia"/>
          <w:szCs w:val="32"/>
        </w:rPr>
        <w:t>知识产权</w:t>
      </w:r>
      <w:r w:rsidRPr="001653A2">
        <w:rPr>
          <w:rFonts w:ascii="仿宋_GB2312" w:hAnsi="楷体" w:hint="eastAsia"/>
          <w:szCs w:val="32"/>
        </w:rPr>
        <w:t>法庭</w:t>
      </w:r>
      <w:r>
        <w:rPr>
          <w:rFonts w:ascii="仿宋_GB2312" w:hAnsi="楷体" w:hint="eastAsia"/>
          <w:szCs w:val="32"/>
        </w:rPr>
        <w:t>的“窗口”示范作用</w:t>
      </w:r>
      <w:r w:rsidRPr="001653A2">
        <w:rPr>
          <w:rFonts w:ascii="仿宋_GB2312" w:hAnsi="楷体" w:hint="eastAsia"/>
          <w:szCs w:val="32"/>
        </w:rPr>
        <w:t>，</w:t>
      </w:r>
      <w:r>
        <w:rPr>
          <w:rFonts w:ascii="仿宋_GB2312" w:hAnsi="楷体" w:hint="eastAsia"/>
          <w:szCs w:val="32"/>
        </w:rPr>
        <w:t>通过公正高效审理新类型、疑难知识产权案件，</w:t>
      </w:r>
      <w:r w:rsidRPr="001653A2">
        <w:rPr>
          <w:rFonts w:ascii="仿宋_GB2312" w:hAnsi="楷体" w:hint="eastAsia"/>
          <w:szCs w:val="32"/>
        </w:rPr>
        <w:t>输出典型案例，</w:t>
      </w:r>
      <w:r>
        <w:rPr>
          <w:rFonts w:ascii="仿宋_GB2312" w:hAnsi="楷体" w:hint="eastAsia"/>
          <w:szCs w:val="32"/>
        </w:rPr>
        <w:t>打造“</w:t>
      </w:r>
      <w:r w:rsidRPr="001653A2">
        <w:rPr>
          <w:rFonts w:ascii="仿宋_GB2312" w:hAnsi="楷体" w:hint="eastAsia"/>
          <w:szCs w:val="32"/>
        </w:rPr>
        <w:t>山东经验</w:t>
      </w:r>
      <w:r>
        <w:rPr>
          <w:rFonts w:ascii="仿宋_GB2312" w:hAnsi="楷体" w:hint="eastAsia"/>
          <w:szCs w:val="32"/>
        </w:rPr>
        <w:t>”</w:t>
      </w:r>
      <w:r w:rsidRPr="001653A2">
        <w:rPr>
          <w:rFonts w:ascii="仿宋_GB2312" w:hAnsi="楷体" w:hint="eastAsia"/>
          <w:szCs w:val="32"/>
        </w:rPr>
        <w:t>。</w:t>
      </w:r>
    </w:p>
    <w:p w:rsidR="00CB06B3" w:rsidRDefault="00CB06B3" w:rsidP="00CB06B3">
      <w:pPr>
        <w:snapToGrid w:val="0"/>
        <w:spacing w:line="560" w:lineRule="exact"/>
        <w:ind w:leftChars="50" w:left="160" w:firstLineChars="150" w:firstLine="480"/>
        <w:rPr>
          <w:rFonts w:ascii="楷体_GB2312" w:eastAsia="楷体_GB2312" w:hAnsi="楷体" w:hint="eastAsia"/>
          <w:szCs w:val="32"/>
        </w:rPr>
      </w:pPr>
      <w:r>
        <w:rPr>
          <w:rFonts w:ascii="楷体_GB2312" w:eastAsia="楷体_GB2312" w:hAnsi="楷体" w:hint="eastAsia"/>
          <w:szCs w:val="32"/>
        </w:rPr>
        <w:t>（二）优化知识产权案件管辖布局</w:t>
      </w:r>
    </w:p>
    <w:p w:rsidR="00CB06B3" w:rsidRDefault="00CB06B3" w:rsidP="00CB06B3">
      <w:pPr>
        <w:snapToGrid w:val="0"/>
        <w:spacing w:line="560" w:lineRule="exact"/>
        <w:ind w:leftChars="50" w:left="160" w:firstLineChars="150" w:firstLine="480"/>
        <w:rPr>
          <w:rFonts w:ascii="仿宋_GB2312" w:hAnsi="楷体" w:hint="eastAsia"/>
          <w:szCs w:val="32"/>
        </w:rPr>
      </w:pPr>
      <w:r w:rsidRPr="0049064E">
        <w:rPr>
          <w:rFonts w:ascii="仿宋_GB2312" w:hAnsi="楷体" w:hint="eastAsia"/>
          <w:szCs w:val="32"/>
        </w:rPr>
        <w:t>为</w:t>
      </w:r>
      <w:r>
        <w:rPr>
          <w:rFonts w:ascii="仿宋_GB2312" w:hAnsi="楷体" w:hint="eastAsia"/>
          <w:szCs w:val="32"/>
        </w:rPr>
        <w:t>构建符合知识产权司法特点的审判机制，不断提高</w:t>
      </w:r>
      <w:r w:rsidRPr="00A81A48">
        <w:rPr>
          <w:rFonts w:ascii="楷体_GB2312" w:eastAsia="楷体_GB2312" w:hint="eastAsia"/>
          <w:szCs w:val="32"/>
        </w:rPr>
        <w:t>知识产权司法保护的整体效能，2017年11月，经最高人民法院批准，</w:t>
      </w:r>
      <w:r>
        <w:rPr>
          <w:rFonts w:ascii="仿宋_GB2312" w:hint="eastAsia"/>
          <w:szCs w:val="32"/>
        </w:rPr>
        <w:t>山东省</w:t>
      </w:r>
      <w:r w:rsidRPr="003C36C6">
        <w:rPr>
          <w:rFonts w:ascii="仿宋_GB2312" w:hint="eastAsia"/>
        </w:rPr>
        <w:t>管辖一般知识产权案件</w:t>
      </w:r>
      <w:r>
        <w:rPr>
          <w:rFonts w:ascii="仿宋_GB2312" w:hint="eastAsia"/>
        </w:rPr>
        <w:t>的基层法院数量由5个增至</w:t>
      </w:r>
      <w:r w:rsidRPr="003C36C6">
        <w:rPr>
          <w:rFonts w:ascii="仿宋_GB2312" w:hint="eastAsia"/>
        </w:rPr>
        <w:t>21个，</w:t>
      </w:r>
      <w:r>
        <w:rPr>
          <w:rFonts w:ascii="仿宋_GB2312" w:hint="eastAsia"/>
        </w:rPr>
        <w:t>同时</w:t>
      </w:r>
      <w:r w:rsidRPr="003C36C6">
        <w:rPr>
          <w:rFonts w:ascii="仿宋_GB2312" w:hint="eastAsia"/>
        </w:rPr>
        <w:t>开展知识产权</w:t>
      </w:r>
      <w:r w:rsidRPr="00BA2B9A">
        <w:rPr>
          <w:rFonts w:ascii="仿宋_GB2312" w:hint="eastAsia"/>
        </w:rPr>
        <w:t>民事、行政、刑事</w:t>
      </w:r>
      <w:r w:rsidRPr="003C36C6">
        <w:rPr>
          <w:rFonts w:ascii="仿宋_GB2312" w:hint="eastAsia"/>
        </w:rPr>
        <w:t>审判“三合一”工作</w:t>
      </w:r>
      <w:r>
        <w:rPr>
          <w:rFonts w:ascii="仿宋_GB2312" w:hint="eastAsia"/>
        </w:rPr>
        <w:t>，全</w:t>
      </w:r>
      <w:r w:rsidRPr="00BA2B9A">
        <w:rPr>
          <w:rFonts w:ascii="仿宋_GB2312" w:hint="eastAsia"/>
        </w:rPr>
        <w:t>省知识产权案件管辖布局</w:t>
      </w:r>
      <w:r>
        <w:rPr>
          <w:rFonts w:ascii="仿宋_GB2312" w:hint="eastAsia"/>
        </w:rPr>
        <w:t>得到进一步优化。推进知识产权审判“三合一”</w:t>
      </w:r>
      <w:r w:rsidRPr="00BA2B9A">
        <w:rPr>
          <w:rFonts w:ascii="仿宋_GB2312" w:hint="eastAsia"/>
        </w:rPr>
        <w:t>工作</w:t>
      </w:r>
      <w:r>
        <w:rPr>
          <w:rFonts w:ascii="仿宋_GB2312" w:hint="eastAsia"/>
        </w:rPr>
        <w:t>，是落实国家知识产权战略和创新驱动发展战略的重要措施，有利于</w:t>
      </w:r>
      <w:r>
        <w:rPr>
          <w:rFonts w:ascii="仿宋_GB2312" w:hAnsi="楷体" w:hint="eastAsia"/>
          <w:szCs w:val="32"/>
        </w:rPr>
        <w:t>统一法律适用标准、优化审判资源配置、提高审判质量</w:t>
      </w:r>
      <w:r w:rsidRPr="0049064E">
        <w:rPr>
          <w:rFonts w:ascii="仿宋_GB2312" w:hAnsi="楷体" w:hint="eastAsia"/>
          <w:szCs w:val="32"/>
        </w:rPr>
        <w:t>效率</w:t>
      </w:r>
      <w:r>
        <w:rPr>
          <w:rFonts w:ascii="仿宋_GB2312" w:hAnsi="楷体" w:hint="eastAsia"/>
          <w:szCs w:val="32"/>
        </w:rPr>
        <w:t>、发挥</w:t>
      </w:r>
      <w:r w:rsidRPr="0049064E">
        <w:rPr>
          <w:rFonts w:ascii="仿宋_GB2312" w:hAnsi="楷体" w:hint="eastAsia"/>
          <w:szCs w:val="32"/>
        </w:rPr>
        <w:t>专业化审判优势</w:t>
      </w:r>
      <w:r>
        <w:rPr>
          <w:rFonts w:ascii="仿宋_GB2312" w:hAnsi="楷体" w:hint="eastAsia"/>
          <w:szCs w:val="32"/>
        </w:rPr>
        <w:t>。</w:t>
      </w:r>
    </w:p>
    <w:p w:rsidR="00CB06B3" w:rsidRDefault="00CB06B3" w:rsidP="00CB06B3">
      <w:pPr>
        <w:snapToGrid w:val="0"/>
        <w:spacing w:line="560" w:lineRule="exact"/>
        <w:ind w:leftChars="50" w:left="160" w:firstLineChars="150" w:firstLine="480"/>
        <w:rPr>
          <w:rFonts w:ascii="楷体_GB2312" w:eastAsia="楷体_GB2312" w:hAnsi="楷体" w:hint="eastAsia"/>
          <w:szCs w:val="32"/>
        </w:rPr>
      </w:pPr>
      <w:r>
        <w:rPr>
          <w:rFonts w:ascii="楷体_GB2312" w:eastAsia="楷体_GB2312" w:hAnsi="楷体" w:hint="eastAsia"/>
          <w:szCs w:val="32"/>
        </w:rPr>
        <w:t>（三）积极</w:t>
      </w:r>
      <w:r w:rsidRPr="00BB6CE9">
        <w:rPr>
          <w:rFonts w:ascii="楷体_GB2312" w:eastAsia="楷体_GB2312" w:hAnsi="楷体" w:hint="eastAsia"/>
          <w:szCs w:val="32"/>
        </w:rPr>
        <w:t>调研</w:t>
      </w:r>
      <w:r>
        <w:rPr>
          <w:rFonts w:ascii="楷体_GB2312" w:eastAsia="楷体_GB2312" w:hAnsi="楷体" w:hint="eastAsia"/>
          <w:szCs w:val="32"/>
        </w:rPr>
        <w:t>司法体制改革难题</w:t>
      </w:r>
    </w:p>
    <w:p w:rsidR="00CB06B3" w:rsidRPr="00BB6CE9" w:rsidRDefault="00CB06B3" w:rsidP="00CB06B3">
      <w:pPr>
        <w:snapToGrid w:val="0"/>
        <w:spacing w:line="560" w:lineRule="exact"/>
        <w:ind w:leftChars="50" w:left="160" w:firstLineChars="150" w:firstLine="480"/>
        <w:rPr>
          <w:rFonts w:ascii="仿宋_GB2312" w:hAnsi="楷体" w:hint="eastAsia"/>
          <w:szCs w:val="32"/>
        </w:rPr>
      </w:pPr>
      <w:r w:rsidRPr="00BB6CE9">
        <w:rPr>
          <w:rFonts w:ascii="仿宋_GB2312" w:hAnsi="楷体" w:hint="eastAsia"/>
          <w:szCs w:val="32"/>
        </w:rPr>
        <w:t>一是承担</w:t>
      </w:r>
      <w:r>
        <w:rPr>
          <w:rFonts w:ascii="仿宋_GB2312" w:hAnsi="楷体" w:hint="eastAsia"/>
          <w:szCs w:val="32"/>
        </w:rPr>
        <w:t>了最高人民法院</w:t>
      </w:r>
      <w:r w:rsidRPr="00BB6CE9">
        <w:rPr>
          <w:rFonts w:ascii="仿宋_GB2312" w:hAnsi="楷体" w:hint="eastAsia"/>
          <w:szCs w:val="32"/>
        </w:rPr>
        <w:t>司法</w:t>
      </w:r>
      <w:r>
        <w:rPr>
          <w:rFonts w:ascii="仿宋_GB2312" w:hAnsi="楷体" w:hint="eastAsia"/>
          <w:szCs w:val="32"/>
        </w:rPr>
        <w:t>研究重大课题“新形态创新成果的知识产权保护研究”工作，</w:t>
      </w:r>
      <w:r w:rsidRPr="00BB6CE9">
        <w:rPr>
          <w:rFonts w:ascii="仿宋_GB2312" w:hAnsi="楷体" w:hint="eastAsia"/>
          <w:szCs w:val="32"/>
        </w:rPr>
        <w:t>以创新的</w:t>
      </w:r>
      <w:r>
        <w:rPr>
          <w:rFonts w:ascii="仿宋_GB2312" w:hAnsi="楷体" w:hint="eastAsia"/>
          <w:szCs w:val="32"/>
        </w:rPr>
        <w:t>方式保护创新，以改革的思维解决知识产权审判改革中面临的问题</w:t>
      </w:r>
      <w:r w:rsidRPr="00BB6CE9">
        <w:rPr>
          <w:rFonts w:ascii="仿宋_GB2312" w:hAnsi="楷体" w:hint="eastAsia"/>
          <w:szCs w:val="32"/>
        </w:rPr>
        <w:t>，</w:t>
      </w:r>
      <w:r>
        <w:rPr>
          <w:rFonts w:ascii="仿宋_GB2312" w:hAnsi="楷体" w:hint="eastAsia"/>
          <w:szCs w:val="32"/>
        </w:rPr>
        <w:t>找准</w:t>
      </w:r>
      <w:r w:rsidRPr="00BB6CE9">
        <w:rPr>
          <w:rFonts w:ascii="仿宋_GB2312" w:hAnsi="楷体" w:hint="eastAsia"/>
          <w:szCs w:val="32"/>
        </w:rPr>
        <w:t>影响和制约</w:t>
      </w:r>
      <w:r>
        <w:rPr>
          <w:rFonts w:ascii="仿宋_GB2312" w:hAnsi="楷体" w:hint="eastAsia"/>
          <w:szCs w:val="32"/>
        </w:rPr>
        <w:t>新业态、新</w:t>
      </w:r>
      <w:r w:rsidRPr="00BB6CE9">
        <w:rPr>
          <w:rFonts w:ascii="仿宋_GB2312" w:hAnsi="楷体" w:hint="eastAsia"/>
          <w:szCs w:val="32"/>
        </w:rPr>
        <w:t>技术成果知识产权保护发展的关键领域和薄弱环节，研究对策措施</w:t>
      </w:r>
      <w:r>
        <w:rPr>
          <w:rFonts w:ascii="仿宋_GB2312" w:hAnsi="楷体" w:hint="eastAsia"/>
          <w:szCs w:val="32"/>
        </w:rPr>
        <w:t>。</w:t>
      </w:r>
      <w:r w:rsidRPr="00BB6CE9">
        <w:rPr>
          <w:rFonts w:ascii="仿宋_GB2312" w:hAnsi="楷体" w:hint="eastAsia"/>
          <w:szCs w:val="32"/>
        </w:rPr>
        <w:t>二是承担</w:t>
      </w:r>
      <w:r>
        <w:rPr>
          <w:rFonts w:ascii="仿宋_GB2312" w:hAnsi="楷体" w:hint="eastAsia"/>
          <w:szCs w:val="32"/>
        </w:rPr>
        <w:t>了</w:t>
      </w:r>
      <w:r w:rsidRPr="00BB6CE9">
        <w:rPr>
          <w:rFonts w:ascii="仿宋_GB2312" w:hAnsi="楷体" w:hint="eastAsia"/>
          <w:szCs w:val="32"/>
        </w:rPr>
        <w:t>山东省社会科学规划审判研究专题</w:t>
      </w:r>
      <w:r>
        <w:rPr>
          <w:rFonts w:ascii="仿宋_GB2312" w:hAnsi="楷体" w:hint="eastAsia"/>
          <w:szCs w:val="32"/>
        </w:rPr>
        <w:t>调研工作</w:t>
      </w:r>
      <w:r w:rsidRPr="00BB6CE9">
        <w:rPr>
          <w:rFonts w:ascii="仿宋_GB2312" w:hAnsi="楷体" w:hint="eastAsia"/>
          <w:szCs w:val="32"/>
        </w:rPr>
        <w:t>，</w:t>
      </w:r>
      <w:r>
        <w:rPr>
          <w:rFonts w:ascii="仿宋_GB2312" w:hAnsi="楷体" w:hint="eastAsia"/>
          <w:szCs w:val="32"/>
        </w:rPr>
        <w:t>针对</w:t>
      </w:r>
      <w:r w:rsidRPr="00BB6CE9">
        <w:rPr>
          <w:rFonts w:ascii="仿宋_GB2312" w:hAnsi="楷体" w:hint="eastAsia"/>
          <w:szCs w:val="32"/>
        </w:rPr>
        <w:t>下一步全</w:t>
      </w:r>
      <w:r>
        <w:rPr>
          <w:rFonts w:ascii="仿宋_GB2312" w:hAnsi="楷体" w:hint="eastAsia"/>
          <w:szCs w:val="32"/>
        </w:rPr>
        <w:t>面推进知识产权“三合一”工作的改革困境和需要解决的问题，提出对策建议</w:t>
      </w:r>
      <w:r w:rsidRPr="00BB6CE9">
        <w:rPr>
          <w:rFonts w:ascii="仿宋_GB2312" w:hAnsi="楷体" w:hint="eastAsia"/>
          <w:szCs w:val="32"/>
        </w:rPr>
        <w:t>。三是组织筹备设立知识产权法学研究会。</w:t>
      </w:r>
      <w:r>
        <w:rPr>
          <w:rFonts w:ascii="仿宋_GB2312" w:hAnsi="楷体" w:hint="eastAsia"/>
          <w:szCs w:val="32"/>
        </w:rPr>
        <w:t>山东高院</w:t>
      </w:r>
      <w:r w:rsidRPr="00BB6CE9">
        <w:rPr>
          <w:rFonts w:ascii="仿宋_GB2312" w:hAnsi="楷体" w:hint="eastAsia"/>
          <w:szCs w:val="32"/>
        </w:rPr>
        <w:t>与</w:t>
      </w:r>
      <w:r>
        <w:rPr>
          <w:rFonts w:ascii="仿宋_GB2312" w:hAnsi="楷体" w:hint="eastAsia"/>
          <w:szCs w:val="32"/>
        </w:rPr>
        <w:t>山东</w:t>
      </w:r>
      <w:r w:rsidRPr="00BB6CE9">
        <w:rPr>
          <w:rFonts w:ascii="仿宋_GB2312" w:hAnsi="楷体" w:hint="eastAsia"/>
          <w:szCs w:val="32"/>
        </w:rPr>
        <w:t>省法学会多次沟通协商</w:t>
      </w:r>
      <w:r>
        <w:rPr>
          <w:rFonts w:ascii="仿宋_GB2312" w:hAnsi="楷体" w:hint="eastAsia"/>
          <w:szCs w:val="32"/>
        </w:rPr>
        <w:t>成立知识产权法学研究会</w:t>
      </w:r>
      <w:r w:rsidRPr="00BB6CE9">
        <w:rPr>
          <w:rFonts w:ascii="仿宋_GB2312" w:hAnsi="楷体" w:hint="eastAsia"/>
          <w:szCs w:val="32"/>
        </w:rPr>
        <w:t>，起草完成了《关于成立山东省法学会知识产权法</w:t>
      </w:r>
      <w:r w:rsidRPr="00BB6CE9">
        <w:rPr>
          <w:rFonts w:ascii="仿宋_GB2312" w:hAnsi="楷体" w:hint="eastAsia"/>
          <w:szCs w:val="32"/>
        </w:rPr>
        <w:lastRenderedPageBreak/>
        <w:t>学研究会的请示》和《山东省法学会知识产权法学研究会章程》</w:t>
      </w:r>
      <w:r>
        <w:rPr>
          <w:rFonts w:ascii="仿宋_GB2312" w:hAnsi="楷体" w:hint="eastAsia"/>
          <w:szCs w:val="32"/>
        </w:rPr>
        <w:t>，为完善我省知识产权研究体系、提升知识产权保护水平发挥应有作用</w:t>
      </w:r>
      <w:r w:rsidRPr="00BB6CE9">
        <w:rPr>
          <w:rFonts w:ascii="仿宋_GB2312" w:hAnsi="楷体" w:hint="eastAsia"/>
          <w:szCs w:val="32"/>
        </w:rPr>
        <w:t>。</w:t>
      </w:r>
    </w:p>
    <w:p w:rsidR="00CB06B3" w:rsidRPr="0049064E" w:rsidRDefault="00CB06B3" w:rsidP="00CB06B3">
      <w:pPr>
        <w:snapToGrid w:val="0"/>
        <w:spacing w:line="560" w:lineRule="exact"/>
        <w:ind w:leftChars="50" w:left="160" w:firstLineChars="150" w:firstLine="480"/>
        <w:rPr>
          <w:rFonts w:ascii="黑体" w:eastAsia="黑体" w:hint="eastAsia"/>
          <w:szCs w:val="32"/>
        </w:rPr>
      </w:pPr>
      <w:r>
        <w:rPr>
          <w:rFonts w:ascii="黑体" w:eastAsia="黑体" w:hint="eastAsia"/>
          <w:szCs w:val="32"/>
        </w:rPr>
        <w:t>三</w:t>
      </w:r>
      <w:r w:rsidRPr="0049064E">
        <w:rPr>
          <w:rFonts w:ascii="黑体" w:eastAsia="黑体" w:hint="eastAsia"/>
          <w:szCs w:val="32"/>
        </w:rPr>
        <w:t>、</w:t>
      </w:r>
      <w:r>
        <w:rPr>
          <w:rFonts w:ascii="黑体" w:eastAsia="黑体" w:hint="eastAsia"/>
          <w:szCs w:val="32"/>
        </w:rPr>
        <w:t>精准服务创新驱动发展战略实施</w:t>
      </w:r>
    </w:p>
    <w:p w:rsidR="00CB06B3" w:rsidRPr="00F61C50" w:rsidRDefault="00CB06B3" w:rsidP="00CB06B3">
      <w:pPr>
        <w:spacing w:line="560" w:lineRule="exact"/>
        <w:ind w:firstLineChars="200" w:firstLine="640"/>
        <w:rPr>
          <w:rFonts w:ascii="仿宋_GB2312" w:hAnsi="楷体" w:hint="eastAsia"/>
        </w:rPr>
      </w:pPr>
      <w:r>
        <w:rPr>
          <w:rFonts w:ascii="仿宋_GB2312" w:hAnsi="楷体" w:hint="eastAsia"/>
        </w:rPr>
        <w:t>山东法院</w:t>
      </w:r>
      <w:r w:rsidRPr="00F61C50">
        <w:rPr>
          <w:rFonts w:ascii="仿宋_GB2312" w:hAnsi="楷体" w:hint="eastAsia"/>
        </w:rPr>
        <w:t>围绕省委省政府</w:t>
      </w:r>
      <w:r>
        <w:rPr>
          <w:rFonts w:ascii="仿宋_GB2312" w:hAnsi="楷体" w:hint="eastAsia"/>
        </w:rPr>
        <w:t>关于高质量发展的决策</w:t>
      </w:r>
      <w:r w:rsidRPr="00F61C50">
        <w:rPr>
          <w:rFonts w:ascii="仿宋_GB2312" w:hAnsi="楷体" w:hint="eastAsia"/>
        </w:rPr>
        <w:t>，</w:t>
      </w:r>
      <w:r>
        <w:rPr>
          <w:rFonts w:ascii="仿宋_GB2312" w:hAnsi="楷体" w:hint="eastAsia"/>
        </w:rPr>
        <w:t>坚持创新工作思路，更好地服务创新驱动发展、新旧动能转换等重大部署</w:t>
      </w:r>
      <w:r w:rsidRPr="00F61C50">
        <w:rPr>
          <w:rFonts w:ascii="仿宋_GB2312" w:hAnsi="楷体" w:hint="eastAsia"/>
        </w:rPr>
        <w:t>。</w:t>
      </w:r>
    </w:p>
    <w:p w:rsidR="00CB06B3" w:rsidRDefault="00CB06B3" w:rsidP="00CB06B3">
      <w:pPr>
        <w:spacing w:line="560" w:lineRule="exact"/>
        <w:ind w:firstLineChars="200" w:firstLine="640"/>
        <w:rPr>
          <w:rFonts w:ascii="楷体_GB2312" w:eastAsia="楷体_GB2312" w:hAnsi="楷体" w:hint="eastAsia"/>
          <w:szCs w:val="32"/>
        </w:rPr>
      </w:pPr>
      <w:r>
        <w:rPr>
          <w:rFonts w:ascii="楷体_GB2312" w:eastAsia="楷体_GB2312" w:hAnsi="楷体" w:hint="eastAsia"/>
        </w:rPr>
        <w:t>（一）出</w:t>
      </w:r>
      <w:r w:rsidRPr="004D6192">
        <w:rPr>
          <w:rFonts w:ascii="楷体_GB2312" w:eastAsia="楷体_GB2312" w:hAnsi="楷体" w:hint="eastAsia"/>
        </w:rPr>
        <w:t>台</w:t>
      </w:r>
      <w:r>
        <w:rPr>
          <w:rFonts w:ascii="楷体_GB2312" w:eastAsia="楷体_GB2312" w:hAnsi="楷体" w:hint="eastAsia"/>
        </w:rPr>
        <w:t>保障</w:t>
      </w:r>
      <w:r w:rsidRPr="004D6192">
        <w:rPr>
          <w:rFonts w:ascii="楷体_GB2312" w:eastAsia="楷体_GB2312" w:hAnsi="楷体" w:hint="eastAsia"/>
          <w:szCs w:val="32"/>
        </w:rPr>
        <w:t>科技创新</w:t>
      </w:r>
      <w:r>
        <w:rPr>
          <w:rFonts w:ascii="楷体_GB2312" w:eastAsia="楷体_GB2312" w:hAnsi="楷体" w:hint="eastAsia"/>
          <w:szCs w:val="32"/>
        </w:rPr>
        <w:t>发展新举措</w:t>
      </w:r>
    </w:p>
    <w:p w:rsidR="00CB06B3" w:rsidRDefault="00CB06B3" w:rsidP="00CB06B3">
      <w:pPr>
        <w:spacing w:line="560" w:lineRule="exact"/>
        <w:ind w:firstLineChars="200" w:firstLine="640"/>
        <w:rPr>
          <w:rFonts w:ascii="楷体_GB2312" w:eastAsia="楷体_GB2312" w:hint="eastAsia"/>
        </w:rPr>
      </w:pPr>
      <w:r>
        <w:rPr>
          <w:rFonts w:ascii="仿宋_GB2312" w:hint="eastAsia"/>
        </w:rPr>
        <w:t>青岛中院</w:t>
      </w:r>
      <w:r>
        <w:rPr>
          <w:rFonts w:ascii="仿宋_GB2312" w:hAnsi="仿宋" w:hint="eastAsia"/>
          <w:szCs w:val="32"/>
        </w:rPr>
        <w:t>紧紧围绕青岛市委、市政府中心工作，发布</w:t>
      </w:r>
      <w:r w:rsidRPr="00885187">
        <w:rPr>
          <w:rFonts w:ascii="仿宋_GB2312" w:hAnsi="仿宋" w:hint="eastAsia"/>
          <w:szCs w:val="32"/>
        </w:rPr>
        <w:t>《关于</w:t>
      </w:r>
      <w:r>
        <w:rPr>
          <w:rFonts w:ascii="仿宋_GB2312" w:hAnsi="仿宋" w:hint="eastAsia"/>
          <w:szCs w:val="32"/>
        </w:rPr>
        <w:t>新形势下</w:t>
      </w:r>
      <w:r w:rsidRPr="00885187">
        <w:rPr>
          <w:rFonts w:ascii="仿宋_GB2312" w:hAnsi="仿宋" w:hint="eastAsia"/>
          <w:szCs w:val="32"/>
        </w:rPr>
        <w:t>依法保障和促进科技创新</w:t>
      </w:r>
      <w:r>
        <w:rPr>
          <w:rFonts w:ascii="仿宋_GB2312" w:hAnsi="仿宋" w:hint="eastAsia"/>
          <w:szCs w:val="32"/>
        </w:rPr>
        <w:t>及知识产权强市建设</w:t>
      </w:r>
      <w:r w:rsidRPr="00885187">
        <w:rPr>
          <w:rFonts w:ascii="仿宋_GB2312" w:hAnsi="仿宋" w:hint="eastAsia"/>
          <w:szCs w:val="32"/>
        </w:rPr>
        <w:t>的意见》</w:t>
      </w:r>
      <w:r>
        <w:rPr>
          <w:rFonts w:ascii="仿宋_GB2312" w:hAnsi="仿宋" w:hint="eastAsia"/>
          <w:szCs w:val="32"/>
        </w:rPr>
        <w:t>，</w:t>
      </w:r>
      <w:r>
        <w:rPr>
          <w:rFonts w:ascii="仿宋_GB2312" w:hAnsi="仿宋" w:cs="仿宋_GB2312" w:hint="eastAsia"/>
          <w:szCs w:val="32"/>
        </w:rPr>
        <w:t>积极为青岛市科技创新和经济发展大局服务</w:t>
      </w:r>
      <w:r w:rsidRPr="003B38C9">
        <w:rPr>
          <w:rFonts w:ascii="仿宋_GB2312" w:hAnsi="仿宋" w:cs="仿宋_GB2312" w:hint="eastAsia"/>
          <w:szCs w:val="32"/>
        </w:rPr>
        <w:t>。</w:t>
      </w:r>
      <w:r>
        <w:rPr>
          <w:rFonts w:ascii="仿宋_GB2312" w:hAnsi="宋体" w:hint="eastAsia"/>
          <w:szCs w:val="32"/>
        </w:rPr>
        <w:t>菏泽中院在充分调研的基础上，出台《</w:t>
      </w:r>
      <w:r w:rsidRPr="009522D5">
        <w:rPr>
          <w:rFonts w:ascii="仿宋_GB2312" w:hAnsi="宋体" w:hint="eastAsia"/>
          <w:szCs w:val="32"/>
        </w:rPr>
        <w:t>关于充分发挥知识产权审判职能作用服务全市创新驱动发展的意见</w:t>
      </w:r>
      <w:r>
        <w:rPr>
          <w:rFonts w:ascii="仿宋_GB2312" w:hAnsi="宋体" w:hint="eastAsia"/>
          <w:szCs w:val="32"/>
        </w:rPr>
        <w:t>》，从提高思想认识、突出服务重点、完善体制机制等方面提出了15条意见。</w:t>
      </w:r>
    </w:p>
    <w:p w:rsidR="00CB06B3" w:rsidRDefault="00CB06B3" w:rsidP="00CB06B3">
      <w:pPr>
        <w:spacing w:line="560" w:lineRule="exact"/>
        <w:ind w:firstLineChars="200" w:firstLine="640"/>
        <w:rPr>
          <w:rFonts w:ascii="楷体_GB2312" w:eastAsia="楷体_GB2312" w:hint="eastAsia"/>
        </w:rPr>
      </w:pPr>
      <w:r>
        <w:rPr>
          <w:rFonts w:ascii="楷体_GB2312" w:eastAsia="楷体_GB2312" w:hint="eastAsia"/>
        </w:rPr>
        <w:t>（二）</w:t>
      </w:r>
      <w:r>
        <w:rPr>
          <w:rFonts w:ascii="楷体_GB2312" w:eastAsia="楷体_GB2312" w:hint="eastAsia"/>
          <w:szCs w:val="32"/>
        </w:rPr>
        <w:t>多措并举助力企业创新驱动</w:t>
      </w:r>
      <w:r w:rsidRPr="000450FF">
        <w:rPr>
          <w:rFonts w:ascii="楷体_GB2312" w:eastAsia="楷体_GB2312" w:hint="eastAsia"/>
          <w:szCs w:val="32"/>
        </w:rPr>
        <w:t>发展</w:t>
      </w:r>
    </w:p>
    <w:p w:rsidR="00CB06B3" w:rsidRDefault="00CB06B3" w:rsidP="00CB06B3">
      <w:pPr>
        <w:spacing w:line="560" w:lineRule="exact"/>
        <w:ind w:firstLineChars="200" w:firstLine="640"/>
        <w:rPr>
          <w:rFonts w:ascii="仿宋_GB2312" w:hAnsi="仿宋" w:hint="eastAsia"/>
          <w:szCs w:val="32"/>
        </w:rPr>
      </w:pPr>
      <w:r w:rsidRPr="00F61C50">
        <w:rPr>
          <w:rFonts w:ascii="仿宋_GB2312" w:hint="eastAsia"/>
        </w:rPr>
        <w:t>一</w:t>
      </w:r>
      <w:r>
        <w:rPr>
          <w:rFonts w:ascii="仿宋_GB2312" w:hint="eastAsia"/>
        </w:rPr>
        <w:t>是为高新企业提供高质量服务。济南中院</w:t>
      </w:r>
      <w:r>
        <w:rPr>
          <w:rFonts w:ascii="仿宋_GB2312" w:hAnsi="仿宋" w:hint="eastAsia"/>
          <w:snapToGrid w:val="0"/>
          <w:szCs w:val="32"/>
        </w:rPr>
        <w:t>坚持</w:t>
      </w:r>
      <w:r>
        <w:rPr>
          <w:rFonts w:ascii="仿宋_GB2312" w:hAnsi="仿宋" w:cs="仿宋_GB2312" w:hint="eastAsia"/>
          <w:szCs w:val="32"/>
        </w:rPr>
        <w:t>开展“知识产权司法保护进企业”活动，</w:t>
      </w:r>
      <w:r>
        <w:rPr>
          <w:rFonts w:ascii="仿宋_GB2312" w:hint="eastAsia"/>
        </w:rPr>
        <w:t>专门印发并向驻济高新企业赠送编写的《企业知识产权保护司法实务》，</w:t>
      </w:r>
      <w:r>
        <w:rPr>
          <w:rFonts w:ascii="仿宋_GB2312" w:hAnsi="仿宋" w:cs="仿宋_GB2312" w:hint="eastAsia"/>
          <w:szCs w:val="32"/>
        </w:rPr>
        <w:t>多次赴企业进行知识产权法律宣讲</w:t>
      </w:r>
      <w:r>
        <w:rPr>
          <w:rFonts w:ascii="仿宋_GB2312" w:hint="eastAsia"/>
        </w:rPr>
        <w:t>，提高知识产权司法救济的便利性、针对性、有效性。二是为</w:t>
      </w:r>
      <w:r w:rsidRPr="004D6192">
        <w:rPr>
          <w:rFonts w:ascii="仿宋_GB2312" w:hint="eastAsia"/>
        </w:rPr>
        <w:t>创新型企业</w:t>
      </w:r>
      <w:r>
        <w:rPr>
          <w:rFonts w:ascii="仿宋_GB2312" w:hint="eastAsia"/>
        </w:rPr>
        <w:t>提供高效保护。2017年12月，</w:t>
      </w:r>
      <w:r w:rsidRPr="004D6192">
        <w:rPr>
          <w:rFonts w:ascii="仿宋_GB2312" w:hint="eastAsia"/>
        </w:rPr>
        <w:t>青岛中院在</w:t>
      </w:r>
      <w:r w:rsidRPr="00885187">
        <w:rPr>
          <w:rFonts w:ascii="仿宋_GB2312" w:hAnsi="仿宋" w:hint="eastAsia"/>
          <w:szCs w:val="32"/>
        </w:rPr>
        <w:t>中德生态园</w:t>
      </w:r>
      <w:r>
        <w:rPr>
          <w:rFonts w:ascii="仿宋_GB2312" w:hAnsi="仿宋" w:hint="eastAsia"/>
          <w:szCs w:val="32"/>
        </w:rPr>
        <w:t>、蓝谷两个巡回法庭的基础上，又设立了</w:t>
      </w:r>
      <w:r w:rsidRPr="00885187">
        <w:rPr>
          <w:rFonts w:ascii="仿宋_GB2312" w:hAnsi="仿宋" w:hint="eastAsia"/>
          <w:szCs w:val="32"/>
        </w:rPr>
        <w:t>高新</w:t>
      </w:r>
      <w:r>
        <w:rPr>
          <w:rFonts w:ascii="仿宋_GB2312" w:hAnsi="仿宋" w:hint="eastAsia"/>
          <w:szCs w:val="32"/>
        </w:rPr>
        <w:t>区知识产权巡回审判庭。三个法庭共同打造青岛知识产权巡回审判</w:t>
      </w:r>
      <w:r w:rsidRPr="00885187">
        <w:rPr>
          <w:rFonts w:ascii="仿宋_GB2312" w:hAnsi="仿宋" w:hint="eastAsia"/>
          <w:szCs w:val="32"/>
        </w:rPr>
        <w:t>的“品”字型</w:t>
      </w:r>
      <w:r>
        <w:rPr>
          <w:rFonts w:ascii="仿宋_GB2312" w:hAnsi="仿宋" w:hint="eastAsia"/>
          <w:szCs w:val="32"/>
        </w:rPr>
        <w:t>合理</w:t>
      </w:r>
      <w:r w:rsidRPr="00885187">
        <w:rPr>
          <w:rFonts w:ascii="仿宋_GB2312" w:hAnsi="仿宋" w:hint="eastAsia"/>
          <w:szCs w:val="32"/>
        </w:rPr>
        <w:t>布局</w:t>
      </w:r>
      <w:r>
        <w:rPr>
          <w:rFonts w:ascii="仿宋_GB2312" w:hAnsi="仿宋" w:hint="eastAsia"/>
          <w:szCs w:val="32"/>
        </w:rPr>
        <w:t>，为创新型企业</w:t>
      </w:r>
      <w:r>
        <w:rPr>
          <w:rFonts w:ascii="仿宋_GB2312" w:hAnsi="仿宋" w:hint="eastAsia"/>
          <w:szCs w:val="32"/>
        </w:rPr>
        <w:lastRenderedPageBreak/>
        <w:t>提供便捷高效的知识产权司法保护。三是</w:t>
      </w:r>
      <w:r w:rsidRPr="004D6192">
        <w:rPr>
          <w:rFonts w:ascii="仿宋_GB2312" w:hint="eastAsia"/>
        </w:rPr>
        <w:t>召开</w:t>
      </w:r>
      <w:r>
        <w:rPr>
          <w:rFonts w:ascii="仿宋_GB2312" w:hint="eastAsia"/>
        </w:rPr>
        <w:t>知识产权司法保护</w:t>
      </w:r>
      <w:r w:rsidRPr="004D6192">
        <w:rPr>
          <w:rFonts w:ascii="仿宋_GB2312" w:hint="eastAsia"/>
        </w:rPr>
        <w:t>座谈会，</w:t>
      </w:r>
      <w:r>
        <w:rPr>
          <w:rFonts w:ascii="仿宋_GB2312" w:hint="eastAsia"/>
        </w:rPr>
        <w:t>充分</w:t>
      </w:r>
      <w:r w:rsidRPr="004D6192">
        <w:rPr>
          <w:rFonts w:ascii="仿宋_GB2312" w:hint="eastAsia"/>
        </w:rPr>
        <w:t>听取</w:t>
      </w:r>
      <w:r>
        <w:rPr>
          <w:rFonts w:ascii="仿宋_GB2312" w:hint="eastAsia"/>
        </w:rPr>
        <w:t>社会各界对知识产权</w:t>
      </w:r>
      <w:r w:rsidRPr="004D6192">
        <w:rPr>
          <w:rFonts w:ascii="仿宋_GB2312" w:hint="eastAsia"/>
        </w:rPr>
        <w:t>保护工作的意见和建议</w:t>
      </w:r>
      <w:r>
        <w:rPr>
          <w:rFonts w:ascii="仿宋_GB2312" w:hint="eastAsia"/>
        </w:rPr>
        <w:t>。青岛中院</w:t>
      </w:r>
      <w:r>
        <w:rPr>
          <w:rFonts w:ascii="仿宋_GB2312" w:hAnsi="仿宋" w:hint="eastAsia"/>
          <w:szCs w:val="32"/>
        </w:rPr>
        <w:t>先后两次</w:t>
      </w:r>
      <w:r w:rsidRPr="00885187">
        <w:rPr>
          <w:rFonts w:ascii="仿宋_GB2312" w:hAnsi="仿宋" w:cs="仿宋_GB2312" w:hint="eastAsia"/>
          <w:szCs w:val="32"/>
        </w:rPr>
        <w:t>举办</w:t>
      </w:r>
      <w:r>
        <w:rPr>
          <w:rFonts w:ascii="仿宋_GB2312" w:hAnsi="仿宋" w:cs="仿宋_GB2312" w:hint="eastAsia"/>
          <w:szCs w:val="32"/>
        </w:rPr>
        <w:t>了由知识产权相关行政部门、行业协会、律师协会、企业代表、专业法官等一百余人参加的</w:t>
      </w:r>
      <w:r w:rsidRPr="00885187">
        <w:rPr>
          <w:rFonts w:ascii="仿宋_GB2312" w:hAnsi="仿宋" w:cs="仿宋_GB2312" w:hint="eastAsia"/>
          <w:szCs w:val="32"/>
        </w:rPr>
        <w:t>知识产权法律保护座谈会暨实务问题讲座</w:t>
      </w:r>
      <w:r>
        <w:rPr>
          <w:rFonts w:ascii="仿宋_GB2312" w:hAnsi="仿宋" w:cs="仿宋_GB2312" w:hint="eastAsia"/>
          <w:szCs w:val="32"/>
        </w:rPr>
        <w:t>，</w:t>
      </w:r>
      <w:r w:rsidRPr="004D6192">
        <w:rPr>
          <w:rFonts w:ascii="仿宋_GB2312" w:hint="eastAsia"/>
        </w:rPr>
        <w:t>介绍法院在保护企业知识产权方面的工作情况，对审判实践</w:t>
      </w:r>
      <w:r>
        <w:rPr>
          <w:rFonts w:ascii="仿宋_GB2312" w:hint="eastAsia"/>
        </w:rPr>
        <w:t>中</w:t>
      </w:r>
      <w:r w:rsidRPr="004D6192">
        <w:rPr>
          <w:rFonts w:ascii="仿宋_GB2312" w:hint="eastAsia"/>
        </w:rPr>
        <w:t>发现的企业知识产权保护</w:t>
      </w:r>
      <w:r>
        <w:rPr>
          <w:rFonts w:ascii="仿宋_GB2312" w:hint="eastAsia"/>
        </w:rPr>
        <w:t>问题进行分析讲解</w:t>
      </w:r>
      <w:r w:rsidRPr="004D6192">
        <w:rPr>
          <w:rFonts w:ascii="仿宋_GB2312" w:hint="eastAsia"/>
        </w:rPr>
        <w:t>。</w:t>
      </w:r>
      <w:r w:rsidRPr="004D6192">
        <w:rPr>
          <w:rFonts w:ascii="仿宋_GB2312" w:hAnsi="仿宋" w:hint="eastAsia"/>
          <w:szCs w:val="32"/>
        </w:rPr>
        <w:t xml:space="preserve"> </w:t>
      </w:r>
    </w:p>
    <w:p w:rsidR="00CB06B3" w:rsidRDefault="00CB06B3" w:rsidP="00CB06B3">
      <w:pPr>
        <w:snapToGrid w:val="0"/>
        <w:spacing w:line="560" w:lineRule="exact"/>
        <w:ind w:firstLineChars="200" w:firstLine="640"/>
        <w:rPr>
          <w:rFonts w:ascii="楷体_GB2312" w:eastAsia="楷体_GB2312" w:hint="eastAsia"/>
          <w:szCs w:val="32"/>
        </w:rPr>
      </w:pPr>
      <w:r>
        <w:rPr>
          <w:rFonts w:ascii="楷体_GB2312" w:eastAsia="楷体_GB2312" w:hint="eastAsia"/>
          <w:szCs w:val="32"/>
        </w:rPr>
        <w:t>（三）协作联动加强知识产权保护合力</w:t>
      </w:r>
    </w:p>
    <w:p w:rsidR="00CB06B3" w:rsidRPr="00E032DF" w:rsidRDefault="00CB06B3" w:rsidP="00CB06B3">
      <w:pPr>
        <w:snapToGrid w:val="0"/>
        <w:spacing w:line="560" w:lineRule="exact"/>
        <w:ind w:firstLineChars="200" w:firstLine="640"/>
        <w:rPr>
          <w:rFonts w:ascii="仿宋_GB2312" w:hint="eastAsia"/>
          <w:szCs w:val="32"/>
        </w:rPr>
      </w:pPr>
      <w:r w:rsidRPr="004D6192">
        <w:rPr>
          <w:rFonts w:ascii="仿宋_GB2312" w:hint="eastAsia"/>
          <w:szCs w:val="32"/>
        </w:rPr>
        <w:t>山东高院针对</w:t>
      </w:r>
      <w:r>
        <w:rPr>
          <w:rFonts w:ascii="仿宋_GB2312" w:hint="eastAsia"/>
          <w:szCs w:val="32"/>
        </w:rPr>
        <w:t>《国家知识产权战略纲要》实施十年来</w:t>
      </w:r>
      <w:r>
        <w:rPr>
          <w:rFonts w:ascii="仿宋_GB2312" w:hAnsi="仿宋" w:hint="eastAsia"/>
          <w:szCs w:val="32"/>
        </w:rPr>
        <w:t>山东法</w:t>
      </w:r>
      <w:r w:rsidRPr="00F515E3">
        <w:rPr>
          <w:rFonts w:ascii="仿宋_GB2312" w:hint="eastAsia"/>
        </w:rPr>
        <w:t>院知识产权战略实施总体情况，向山东省</w:t>
      </w:r>
      <w:r w:rsidRPr="003C36C6">
        <w:rPr>
          <w:rFonts w:ascii="仿宋_GB2312" w:hint="eastAsia"/>
        </w:rPr>
        <w:t>知识产权工作联合会报送了《山东法院知识产权战略实施评估报告》；向</w:t>
      </w:r>
      <w:r>
        <w:rPr>
          <w:rFonts w:ascii="仿宋_GB2312" w:hint="eastAsia"/>
        </w:rPr>
        <w:t>山东</w:t>
      </w:r>
      <w:r w:rsidRPr="003C36C6">
        <w:rPr>
          <w:rFonts w:ascii="仿宋_GB2312" w:hint="eastAsia"/>
        </w:rPr>
        <w:t>省知识产权局通报了《2016年山东法院知识产权保护状况》；向</w:t>
      </w:r>
      <w:r>
        <w:rPr>
          <w:rFonts w:ascii="仿宋_GB2312" w:hint="eastAsia"/>
        </w:rPr>
        <w:t>山东</w:t>
      </w:r>
      <w:r w:rsidRPr="003C36C6">
        <w:rPr>
          <w:rFonts w:ascii="仿宋_GB2312" w:hint="eastAsia"/>
        </w:rPr>
        <w:t>省人大常委会报送了《山东法院关于贯彻实施著作权“一法一条例”的情况汇报》；对《山东省国民经济和社会发展第十三个五年规划纲要》提出贯彻落实意见。</w:t>
      </w:r>
    </w:p>
    <w:p w:rsidR="00CB06B3" w:rsidRDefault="00CB06B3" w:rsidP="00CB06B3">
      <w:pPr>
        <w:spacing w:line="560" w:lineRule="exact"/>
        <w:ind w:firstLineChars="200" w:firstLine="640"/>
        <w:rPr>
          <w:rFonts w:ascii="楷体_GB2312" w:eastAsia="楷体_GB2312" w:hAnsi="楷体" w:hint="eastAsia"/>
        </w:rPr>
      </w:pPr>
      <w:r>
        <w:rPr>
          <w:rFonts w:ascii="楷体_GB2312" w:eastAsia="楷体_GB2312" w:hAnsi="楷体" w:hint="eastAsia"/>
        </w:rPr>
        <w:t>（四）深化公开扩大司法保护影响力</w:t>
      </w:r>
    </w:p>
    <w:p w:rsidR="00CB06B3" w:rsidRDefault="00CB06B3" w:rsidP="00CB06B3">
      <w:pPr>
        <w:spacing w:line="560" w:lineRule="exact"/>
        <w:ind w:firstLineChars="200" w:firstLine="640"/>
        <w:rPr>
          <w:rFonts w:ascii="仿宋_GB2312" w:hAnsi="仿宋_GB2312" w:hint="eastAsia"/>
        </w:rPr>
      </w:pPr>
      <w:r w:rsidRPr="004D6192">
        <w:rPr>
          <w:rFonts w:ascii="仿宋_GB2312" w:hAnsi="仿宋_GB2312" w:hint="eastAsia"/>
        </w:rPr>
        <w:t>山东高院</w:t>
      </w:r>
      <w:r>
        <w:rPr>
          <w:rFonts w:ascii="仿宋_GB2312" w:hAnsi="仿宋_GB2312" w:hint="eastAsia"/>
        </w:rPr>
        <w:t>已经连续16</w:t>
      </w:r>
      <w:r w:rsidRPr="004D6192">
        <w:rPr>
          <w:rFonts w:ascii="仿宋_GB2312" w:hint="eastAsia"/>
        </w:rPr>
        <w:t>年持续开展“4.26世界知识产权日宣传周</w:t>
      </w:r>
      <w:r>
        <w:rPr>
          <w:rFonts w:ascii="仿宋_GB2312" w:hint="eastAsia"/>
        </w:rPr>
        <w:t>”</w:t>
      </w:r>
      <w:r w:rsidRPr="004D6192">
        <w:rPr>
          <w:rFonts w:ascii="仿宋_GB2312" w:hint="eastAsia"/>
        </w:rPr>
        <w:t>活动，召开新闻发布会介绍相关情况，公布</w:t>
      </w:r>
      <w:r w:rsidRPr="00885187">
        <w:rPr>
          <w:rFonts w:ascii="仿宋_GB2312" w:cs="仿宋_GB2312" w:hint="eastAsia"/>
          <w:szCs w:val="32"/>
        </w:rPr>
        <w:t>《</w:t>
      </w:r>
      <w:r>
        <w:rPr>
          <w:rFonts w:ascii="仿宋_GB2312" w:hint="eastAsia"/>
        </w:rPr>
        <w:t>山东法院知识产权司法保护十大</w:t>
      </w:r>
      <w:r w:rsidRPr="004D6192">
        <w:rPr>
          <w:rFonts w:ascii="仿宋_GB2312" w:hint="eastAsia"/>
        </w:rPr>
        <w:t>案件</w:t>
      </w:r>
      <w:r w:rsidRPr="00885187">
        <w:rPr>
          <w:rFonts w:ascii="仿宋_GB2312" w:cs="仿宋_GB2312" w:hint="eastAsia"/>
          <w:szCs w:val="32"/>
        </w:rPr>
        <w:t>》</w:t>
      </w:r>
      <w:r w:rsidRPr="004D6192">
        <w:rPr>
          <w:rFonts w:ascii="仿宋_GB2312" w:hint="eastAsia"/>
        </w:rPr>
        <w:t>，发布</w:t>
      </w:r>
      <w:r w:rsidRPr="00885187">
        <w:rPr>
          <w:rFonts w:ascii="仿宋_GB2312" w:cs="仿宋_GB2312" w:hint="eastAsia"/>
          <w:szCs w:val="32"/>
        </w:rPr>
        <w:t>《</w:t>
      </w:r>
      <w:r w:rsidRPr="004D6192">
        <w:rPr>
          <w:rFonts w:ascii="仿宋_GB2312" w:hint="eastAsia"/>
        </w:rPr>
        <w:t>山东法院知识产权司法保护白皮书</w:t>
      </w:r>
      <w:r w:rsidRPr="00885187">
        <w:rPr>
          <w:rFonts w:ascii="仿宋_GB2312" w:cs="仿宋_GB2312" w:hint="eastAsia"/>
          <w:szCs w:val="32"/>
        </w:rPr>
        <w:t>》</w:t>
      </w:r>
      <w:r>
        <w:rPr>
          <w:rFonts w:ascii="仿宋_GB2312" w:hint="eastAsia"/>
        </w:rPr>
        <w:t>，并通过“山东高院”官方</w:t>
      </w:r>
      <w:r w:rsidRPr="00885187">
        <w:rPr>
          <w:rFonts w:ascii="仿宋_GB2312" w:cs="仿宋_GB2312" w:hint="eastAsia"/>
          <w:szCs w:val="32"/>
        </w:rPr>
        <w:t>微博、微信等</w:t>
      </w:r>
      <w:r>
        <w:rPr>
          <w:rFonts w:ascii="仿宋_GB2312" w:hint="eastAsia"/>
        </w:rPr>
        <w:t>新媒体实时发布</w:t>
      </w:r>
      <w:r w:rsidRPr="004D6192">
        <w:rPr>
          <w:rFonts w:ascii="仿宋_GB2312" w:hint="eastAsia"/>
        </w:rPr>
        <w:t>。</w:t>
      </w:r>
      <w:r>
        <w:rPr>
          <w:rFonts w:ascii="仿宋_GB2312" w:hint="eastAsia"/>
        </w:rPr>
        <w:t>各中级法院纷纷通过电视台、报纸、网络等平台宣传知识产权司法保护情况。青岛中院开展了</w:t>
      </w:r>
      <w:r w:rsidRPr="00885187">
        <w:rPr>
          <w:rFonts w:ascii="仿宋_GB2312" w:cs="仿宋_GB2312" w:hint="eastAsia"/>
          <w:szCs w:val="32"/>
        </w:rPr>
        <w:t>知识产权</w:t>
      </w:r>
      <w:r>
        <w:rPr>
          <w:rFonts w:ascii="仿宋_GB2312" w:cs="仿宋_GB2312" w:hint="eastAsia"/>
          <w:szCs w:val="32"/>
        </w:rPr>
        <w:t>审判系列</w:t>
      </w:r>
      <w:r w:rsidRPr="00885187">
        <w:rPr>
          <w:rFonts w:ascii="仿宋_GB2312" w:cs="仿宋_GB2312" w:hint="eastAsia"/>
          <w:szCs w:val="32"/>
        </w:rPr>
        <w:t>专辑宣传，陆续推出了《青岛法院案例选编·知识产权专刊》、《财经日报·</w:t>
      </w:r>
      <w:r w:rsidRPr="00885187">
        <w:rPr>
          <w:rFonts w:ascii="仿宋_GB2312" w:cs="仿宋_GB2312"/>
          <w:szCs w:val="32"/>
        </w:rPr>
        <w:t>2017</w:t>
      </w:r>
      <w:r w:rsidRPr="00885187">
        <w:rPr>
          <w:rFonts w:ascii="仿宋_GB2312" w:cs="仿宋_GB2312" w:hint="eastAsia"/>
          <w:szCs w:val="32"/>
        </w:rPr>
        <w:t>世界知识产权日特</w:t>
      </w:r>
      <w:r w:rsidRPr="00885187">
        <w:rPr>
          <w:rFonts w:ascii="仿宋_GB2312" w:cs="仿宋_GB2312" w:hint="eastAsia"/>
          <w:szCs w:val="32"/>
        </w:rPr>
        <w:lastRenderedPageBreak/>
        <w:t>刊》、《知识产权诉讼指南》</w:t>
      </w:r>
      <w:r>
        <w:rPr>
          <w:rFonts w:ascii="仿宋_GB2312" w:cs="仿宋_GB2312" w:hint="eastAsia"/>
          <w:szCs w:val="32"/>
        </w:rPr>
        <w:t>等</w:t>
      </w:r>
      <w:r>
        <w:rPr>
          <w:rFonts w:ascii="仿宋_GB2312" w:hint="eastAsia"/>
        </w:rPr>
        <w:t>。全省法院</w:t>
      </w:r>
      <w:r w:rsidRPr="004D6192">
        <w:rPr>
          <w:rFonts w:ascii="仿宋_GB2312" w:hAnsi="仿宋_GB2312" w:hint="eastAsia"/>
          <w:szCs w:val="32"/>
        </w:rPr>
        <w:t>积极利用司法公开“四大平台”，</w:t>
      </w:r>
      <w:r w:rsidRPr="004D6192">
        <w:rPr>
          <w:rFonts w:ascii="仿宋_GB2312" w:hAnsi="仿宋_GB2312" w:hint="eastAsia"/>
        </w:rPr>
        <w:t>扎实推进知识产权裁判文书上网、庭审网络直播、审判流程公开工作，确保</w:t>
      </w:r>
      <w:r>
        <w:rPr>
          <w:rFonts w:ascii="仿宋_GB2312" w:hAnsi="仿宋_GB2312" w:hint="eastAsia"/>
        </w:rPr>
        <w:t>各项</w:t>
      </w:r>
      <w:r w:rsidRPr="004D6192">
        <w:rPr>
          <w:rFonts w:ascii="仿宋_GB2312" w:hAnsi="仿宋_GB2312" w:hint="eastAsia"/>
        </w:rPr>
        <w:t>审判工作全程监管、全程留痕、全程可查，让司法权始终在阳光下运行。</w:t>
      </w:r>
    </w:p>
    <w:p w:rsidR="00CB06B3" w:rsidRPr="000450FF" w:rsidRDefault="00CB06B3" w:rsidP="00CB06B3">
      <w:pPr>
        <w:spacing w:line="560" w:lineRule="exact"/>
        <w:outlineLvl w:val="0"/>
        <w:rPr>
          <w:rFonts w:ascii="黑体" w:eastAsia="黑体" w:hint="eastAsia"/>
          <w:szCs w:val="32"/>
        </w:rPr>
      </w:pPr>
      <w:r w:rsidRPr="000450FF">
        <w:rPr>
          <w:rFonts w:ascii="黑体" w:eastAsia="黑体" w:hint="eastAsia"/>
          <w:szCs w:val="32"/>
        </w:rPr>
        <w:t xml:space="preserve">    四、</w:t>
      </w:r>
      <w:r>
        <w:rPr>
          <w:rFonts w:ascii="黑体" w:eastAsia="黑体" w:hint="eastAsia"/>
          <w:szCs w:val="32"/>
        </w:rPr>
        <w:t>夯实基础提升</w:t>
      </w:r>
      <w:r w:rsidRPr="00A81A48">
        <w:rPr>
          <w:rFonts w:ascii="楷体_GB2312" w:eastAsia="楷体_GB2312" w:hint="eastAsia"/>
          <w:szCs w:val="32"/>
        </w:rPr>
        <w:t>知产法官司法能</w:t>
      </w:r>
      <w:r>
        <w:rPr>
          <w:rFonts w:ascii="黑体" w:eastAsia="黑体" w:hint="eastAsia"/>
          <w:szCs w:val="32"/>
        </w:rPr>
        <w:t>力</w:t>
      </w:r>
    </w:p>
    <w:p w:rsidR="00CB06B3" w:rsidRPr="004D6192" w:rsidRDefault="00CB06B3" w:rsidP="00CB06B3">
      <w:pPr>
        <w:spacing w:line="560" w:lineRule="exact"/>
        <w:ind w:firstLineChars="200" w:firstLine="640"/>
        <w:rPr>
          <w:rFonts w:ascii="仿宋_GB2312" w:hint="eastAsia"/>
          <w:szCs w:val="32"/>
        </w:rPr>
      </w:pPr>
      <w:r>
        <w:rPr>
          <w:rFonts w:ascii="仿宋_GB2312" w:hint="eastAsia"/>
          <w:szCs w:val="32"/>
        </w:rPr>
        <w:t>山东法院紧紧围绕新时代党的建设总要求，认真落实中央关于新形势下加强政法队伍建设的意见。坚持党建引领，增强履职本领，持续正风肃纪，推进重心下移，努力打造一支信念坚定、业务精通、作风精良、清正廉洁的知识产权专业化审判队伍</w:t>
      </w:r>
      <w:r w:rsidRPr="003934D6">
        <w:rPr>
          <w:rFonts w:ascii="仿宋_GB2312" w:hint="eastAsia"/>
          <w:szCs w:val="32"/>
        </w:rPr>
        <w:t>。</w:t>
      </w:r>
    </w:p>
    <w:p w:rsidR="00CB06B3" w:rsidRDefault="00CB06B3" w:rsidP="00CB06B3">
      <w:pPr>
        <w:spacing w:line="560" w:lineRule="exact"/>
        <w:ind w:firstLine="640"/>
        <w:rPr>
          <w:rFonts w:ascii="楷体_GB2312" w:eastAsia="楷体_GB2312" w:hint="eastAsia"/>
        </w:rPr>
      </w:pPr>
      <w:r>
        <w:rPr>
          <w:rFonts w:ascii="楷体_GB2312" w:eastAsia="楷体_GB2312" w:hint="eastAsia"/>
        </w:rPr>
        <w:t>（一）加强责任意识建设</w:t>
      </w:r>
    </w:p>
    <w:p w:rsidR="00CB06B3" w:rsidRDefault="00CB06B3" w:rsidP="00CB06B3">
      <w:pPr>
        <w:spacing w:line="560" w:lineRule="exact"/>
        <w:ind w:firstLine="640"/>
        <w:rPr>
          <w:rFonts w:ascii="仿宋_GB2312" w:hint="eastAsia"/>
        </w:rPr>
      </w:pPr>
      <w:r w:rsidRPr="00022112">
        <w:rPr>
          <w:rFonts w:ascii="仿宋_GB2312" w:hint="eastAsia"/>
        </w:rPr>
        <w:t>坚持</w:t>
      </w:r>
      <w:r>
        <w:rPr>
          <w:rFonts w:ascii="仿宋_GB2312" w:hint="eastAsia"/>
        </w:rPr>
        <w:t>以习近平新时代中国特色社会主义思想指导实践、推动工作，切实提高适应新形势、解决</w:t>
      </w:r>
      <w:r w:rsidRPr="00022112">
        <w:rPr>
          <w:rFonts w:ascii="仿宋_GB2312" w:hint="eastAsia"/>
        </w:rPr>
        <w:t>新问题的能力</w:t>
      </w:r>
      <w:r>
        <w:rPr>
          <w:rFonts w:ascii="仿宋_GB2312" w:hint="eastAsia"/>
        </w:rPr>
        <w:t>。深入进行审判责任制改革，</w:t>
      </w:r>
      <w:r w:rsidRPr="00D2046A">
        <w:rPr>
          <w:rFonts w:ascii="仿宋_GB2312" w:hint="eastAsia"/>
        </w:rPr>
        <w:t>建立以法官依法独立高效审判为中心的审判运行机制，</w:t>
      </w:r>
      <w:r>
        <w:rPr>
          <w:rFonts w:ascii="仿宋_GB2312" w:hint="eastAsia"/>
        </w:rPr>
        <w:t>真正实现</w:t>
      </w:r>
      <w:r w:rsidRPr="00D2046A">
        <w:rPr>
          <w:rFonts w:ascii="仿宋_GB2312" w:hint="eastAsia"/>
        </w:rPr>
        <w:t>“让审理者裁判，由裁判者负责”</w:t>
      </w:r>
      <w:r>
        <w:rPr>
          <w:rFonts w:ascii="仿宋_GB2312" w:hint="eastAsia"/>
        </w:rPr>
        <w:t>，努力“让人民群众对公平正义有更多获得感”。</w:t>
      </w:r>
    </w:p>
    <w:p w:rsidR="00CB06B3" w:rsidRDefault="00CB06B3" w:rsidP="00CB06B3">
      <w:pPr>
        <w:spacing w:line="560" w:lineRule="exact"/>
        <w:ind w:firstLine="640"/>
        <w:rPr>
          <w:rFonts w:ascii="楷体_GB2312" w:eastAsia="楷体_GB2312" w:hint="eastAsia"/>
        </w:rPr>
      </w:pPr>
      <w:r>
        <w:rPr>
          <w:rFonts w:ascii="楷体_GB2312" w:eastAsia="楷体_GB2312" w:hint="eastAsia"/>
        </w:rPr>
        <w:t>（二）加强司法能力建设</w:t>
      </w:r>
    </w:p>
    <w:p w:rsidR="00CB06B3" w:rsidRPr="00BC037F" w:rsidRDefault="00CB06B3" w:rsidP="00CB06B3">
      <w:pPr>
        <w:spacing w:line="560" w:lineRule="exact"/>
        <w:ind w:firstLine="640"/>
        <w:rPr>
          <w:rFonts w:ascii="仿宋_GB2312" w:hint="eastAsia"/>
          <w:szCs w:val="32"/>
        </w:rPr>
      </w:pPr>
      <w:r>
        <w:rPr>
          <w:rFonts w:ascii="仿宋_GB2312" w:hint="eastAsia"/>
          <w:szCs w:val="32"/>
        </w:rPr>
        <w:t>按照</w:t>
      </w:r>
      <w:r w:rsidRPr="00BC037F">
        <w:rPr>
          <w:rFonts w:ascii="仿宋_GB2312" w:hint="eastAsia"/>
          <w:szCs w:val="32"/>
        </w:rPr>
        <w:t>正规化、专业化、职业化、国际化的要求，努力</w:t>
      </w:r>
      <w:r>
        <w:rPr>
          <w:rFonts w:ascii="仿宋_GB2312" w:hint="eastAsia"/>
          <w:szCs w:val="32"/>
        </w:rPr>
        <w:t>打造司法为民、公正司法的知识产权审判队伍。</w:t>
      </w:r>
      <w:r w:rsidRPr="00BC037F">
        <w:rPr>
          <w:rFonts w:ascii="仿宋_GB2312" w:hint="eastAsia"/>
          <w:szCs w:val="32"/>
        </w:rPr>
        <w:t>以审判需求为导向，大力开展</w:t>
      </w:r>
      <w:r>
        <w:rPr>
          <w:rFonts w:ascii="仿宋_GB2312" w:hint="eastAsia"/>
          <w:szCs w:val="32"/>
        </w:rPr>
        <w:t>知识产权业务培训，着力提高法官庭审驾驭能力、法律适用能力、</w:t>
      </w:r>
      <w:r w:rsidRPr="00BC037F">
        <w:rPr>
          <w:rFonts w:ascii="仿宋_GB2312" w:hint="eastAsia"/>
          <w:szCs w:val="32"/>
        </w:rPr>
        <w:t>裁判文书写作能力，提升</w:t>
      </w:r>
      <w:r>
        <w:rPr>
          <w:rFonts w:ascii="仿宋_GB2312" w:hint="eastAsia"/>
          <w:szCs w:val="32"/>
        </w:rPr>
        <w:t>职业</w:t>
      </w:r>
      <w:r w:rsidRPr="00BC037F">
        <w:rPr>
          <w:rFonts w:ascii="仿宋_GB2312" w:hint="eastAsia"/>
          <w:szCs w:val="32"/>
        </w:rPr>
        <w:t>素养</w:t>
      </w:r>
      <w:r>
        <w:rPr>
          <w:rFonts w:ascii="仿宋_GB2312" w:hint="eastAsia"/>
          <w:szCs w:val="32"/>
        </w:rPr>
        <w:t>和专业水平；以司法统一为目标，拓宽渠道加强审判督导，通过发布《山东法院二审案件改发情况及典型案例分析》等，明确裁判尺度，完善法律适用；以提高质效为重点，充分利</w:t>
      </w:r>
      <w:r>
        <w:rPr>
          <w:rFonts w:ascii="仿宋_GB2312" w:hint="eastAsia"/>
          <w:szCs w:val="32"/>
        </w:rPr>
        <w:lastRenderedPageBreak/>
        <w:t>用大数据和信息化平台，为法官智能办案、类案检索、节点可控提供技术支撑。</w:t>
      </w:r>
    </w:p>
    <w:p w:rsidR="00CB06B3" w:rsidRDefault="00CB06B3" w:rsidP="00CB06B3">
      <w:pPr>
        <w:spacing w:line="560" w:lineRule="exact"/>
        <w:ind w:firstLineChars="200" w:firstLine="640"/>
        <w:rPr>
          <w:rFonts w:ascii="楷体_GB2312" w:eastAsia="楷体_GB2312" w:hint="eastAsia"/>
          <w:szCs w:val="32"/>
        </w:rPr>
      </w:pPr>
      <w:r>
        <w:rPr>
          <w:rFonts w:ascii="楷体_GB2312" w:eastAsia="楷体_GB2312" w:hint="eastAsia"/>
          <w:szCs w:val="32"/>
        </w:rPr>
        <w:t>（三）加强廉政作风建设</w:t>
      </w:r>
    </w:p>
    <w:p w:rsidR="00CB06B3" w:rsidRPr="00BC037F" w:rsidRDefault="00CB06B3" w:rsidP="00CB06B3">
      <w:pPr>
        <w:spacing w:line="560" w:lineRule="exact"/>
        <w:ind w:firstLineChars="200" w:firstLine="640"/>
        <w:rPr>
          <w:rFonts w:ascii="仿宋_GB2312" w:hint="eastAsia"/>
          <w:szCs w:val="32"/>
        </w:rPr>
      </w:pPr>
      <w:r w:rsidRPr="00BC037F">
        <w:rPr>
          <w:rFonts w:ascii="仿宋_GB2312" w:hint="eastAsia"/>
          <w:szCs w:val="32"/>
        </w:rPr>
        <w:t>深入开展廉洁司法集中教育活动，</w:t>
      </w:r>
      <w:r>
        <w:rPr>
          <w:rFonts w:ascii="仿宋_GB2312" w:hint="eastAsia"/>
          <w:szCs w:val="32"/>
        </w:rPr>
        <w:t>以作风建设永远在路上的精神扎实推进作风廉政建设。</w:t>
      </w:r>
      <w:r w:rsidRPr="00A533D6">
        <w:rPr>
          <w:rFonts w:ascii="仿宋_GB2312" w:hint="eastAsia"/>
          <w:szCs w:val="32"/>
        </w:rPr>
        <w:t>认清党风廉政建设形势</w:t>
      </w:r>
      <w:r>
        <w:rPr>
          <w:rFonts w:ascii="仿宋_GB2312" w:hint="eastAsia"/>
          <w:szCs w:val="32"/>
        </w:rPr>
        <w:t>，</w:t>
      </w:r>
      <w:r w:rsidRPr="00BC037F">
        <w:rPr>
          <w:rFonts w:ascii="仿宋_GB2312" w:hint="eastAsia"/>
          <w:szCs w:val="32"/>
        </w:rPr>
        <w:t>按照勤政、务实、清廉的要求，</w:t>
      </w:r>
      <w:r>
        <w:rPr>
          <w:rFonts w:ascii="仿宋_GB2312" w:hint="eastAsia"/>
          <w:szCs w:val="32"/>
        </w:rPr>
        <w:t>正确行使</w:t>
      </w:r>
      <w:r w:rsidRPr="00A533D6">
        <w:rPr>
          <w:rFonts w:ascii="仿宋_GB2312" w:hint="eastAsia"/>
          <w:szCs w:val="32"/>
        </w:rPr>
        <w:t>审判执行权</w:t>
      </w:r>
      <w:r>
        <w:rPr>
          <w:rFonts w:ascii="仿宋_GB2312" w:hint="eastAsia"/>
          <w:szCs w:val="32"/>
        </w:rPr>
        <w:t>，牢筑维护社会公平正义的最后一道防线，树立和维护</w:t>
      </w:r>
      <w:r w:rsidRPr="00BC037F">
        <w:rPr>
          <w:rFonts w:ascii="仿宋_GB2312" w:hint="eastAsia"/>
          <w:szCs w:val="32"/>
        </w:rPr>
        <w:t>知识产权法官</w:t>
      </w:r>
      <w:r>
        <w:rPr>
          <w:rFonts w:ascii="仿宋_GB2312" w:hint="eastAsia"/>
          <w:szCs w:val="32"/>
        </w:rPr>
        <w:t>公正廉洁</w:t>
      </w:r>
      <w:r w:rsidRPr="00BC037F">
        <w:rPr>
          <w:rFonts w:ascii="仿宋_GB2312" w:hint="eastAsia"/>
          <w:szCs w:val="32"/>
        </w:rPr>
        <w:t>的良好形象。</w:t>
      </w:r>
    </w:p>
    <w:p w:rsidR="00CB06B3" w:rsidRPr="00D62A92" w:rsidRDefault="00CB06B3" w:rsidP="00CB06B3">
      <w:pPr>
        <w:spacing w:line="560" w:lineRule="exact"/>
        <w:ind w:firstLineChars="200" w:firstLine="640"/>
        <w:rPr>
          <w:rFonts w:hint="eastAsia"/>
        </w:rPr>
      </w:pPr>
      <w:r w:rsidRPr="000450FF">
        <w:rPr>
          <w:rFonts w:ascii="仿宋_GB2312" w:hint="eastAsia"/>
          <w:szCs w:val="32"/>
        </w:rPr>
        <w:t>201</w:t>
      </w:r>
      <w:r>
        <w:rPr>
          <w:rFonts w:ascii="仿宋_GB2312" w:hint="eastAsia"/>
          <w:szCs w:val="32"/>
        </w:rPr>
        <w:t>8</w:t>
      </w:r>
      <w:r w:rsidRPr="000450FF">
        <w:rPr>
          <w:rFonts w:ascii="仿宋_GB2312" w:hint="eastAsia"/>
          <w:szCs w:val="32"/>
        </w:rPr>
        <w:t>年是</w:t>
      </w:r>
      <w:r>
        <w:rPr>
          <w:rFonts w:ascii="仿宋_GB2312" w:hint="eastAsia"/>
          <w:szCs w:val="32"/>
        </w:rPr>
        <w:t>实践新时代中国特色社会主义思想，全面建成小康社会，实施创新驱动发展战略，建设创新型国家的重要一年。随着山东省</w:t>
      </w:r>
      <w:r w:rsidRPr="009D7EDB">
        <w:rPr>
          <w:rFonts w:ascii="仿宋_GB2312" w:hint="eastAsia"/>
          <w:szCs w:val="32"/>
        </w:rPr>
        <w:t>建设现代化强省和平安山东、法治山东</w:t>
      </w:r>
      <w:r>
        <w:rPr>
          <w:rFonts w:ascii="仿宋_GB2312" w:hint="eastAsia"/>
          <w:szCs w:val="32"/>
        </w:rPr>
        <w:t>战略</w:t>
      </w:r>
      <w:r w:rsidRPr="009D7EDB">
        <w:rPr>
          <w:rFonts w:ascii="仿宋_GB2312" w:hint="eastAsia"/>
          <w:szCs w:val="32"/>
        </w:rPr>
        <w:t>部署</w:t>
      </w:r>
      <w:r>
        <w:rPr>
          <w:rFonts w:ascii="仿宋_GB2312" w:hint="eastAsia"/>
          <w:szCs w:val="32"/>
        </w:rPr>
        <w:t>的进一步实施，以及</w:t>
      </w:r>
      <w:r w:rsidRPr="009D7EDB">
        <w:rPr>
          <w:rFonts w:ascii="仿宋_GB2312" w:hint="eastAsia"/>
          <w:szCs w:val="32"/>
        </w:rPr>
        <w:t>新旧动能转换重大工程</w:t>
      </w:r>
      <w:r>
        <w:rPr>
          <w:rFonts w:ascii="仿宋_GB2312" w:hint="eastAsia"/>
          <w:szCs w:val="32"/>
        </w:rPr>
        <w:t>的全面开展，山东法院将</w:t>
      </w:r>
      <w:r w:rsidRPr="009D7EDB">
        <w:rPr>
          <w:rFonts w:ascii="仿宋_GB2312" w:hint="eastAsia"/>
          <w:szCs w:val="32"/>
        </w:rPr>
        <w:t>坚持以习近平新时代中国特色社会主义思想为指导，</w:t>
      </w:r>
      <w:r>
        <w:rPr>
          <w:rFonts w:ascii="仿宋_GB2312" w:hint="eastAsia"/>
          <w:szCs w:val="32"/>
        </w:rPr>
        <w:t>不忘初心、牢记使命、开拓进取、扎实工作，充分发挥司法保护知识产权的主导作用，为促进全省经济实现高质量发展和走在前列目标提供有力司法保障。</w:t>
      </w:r>
    </w:p>
    <w:p w:rsidR="00CB06B3" w:rsidRPr="002E738F" w:rsidRDefault="00CB06B3" w:rsidP="00CB06B3">
      <w:pPr>
        <w:adjustRightInd w:val="0"/>
        <w:ind w:firstLineChars="200" w:firstLine="640"/>
        <w:jc w:val="left"/>
        <w:rPr>
          <w:rFonts w:ascii="仿宋_GB2312" w:hAnsi="楷体" w:hint="eastAsia"/>
          <w:bCs/>
          <w:szCs w:val="32"/>
        </w:rPr>
      </w:pPr>
    </w:p>
    <w:p w:rsidR="00CB06B3" w:rsidRPr="000450FF" w:rsidRDefault="00CB06B3" w:rsidP="00CB06B3">
      <w:pPr>
        <w:adjustRightInd w:val="0"/>
        <w:ind w:firstLineChars="200" w:firstLine="640"/>
        <w:jc w:val="left"/>
        <w:rPr>
          <w:rFonts w:ascii="仿宋_GB2312" w:hint="eastAsia"/>
          <w:szCs w:val="32"/>
        </w:rPr>
      </w:pPr>
      <w:r>
        <w:rPr>
          <w:rFonts w:ascii="仿宋_GB2312" w:hAnsi="楷体" w:hint="eastAsia"/>
          <w:bCs/>
          <w:szCs w:val="32"/>
        </w:rPr>
        <w:t xml:space="preserve">                               （撰稿人：刘晓梅）</w:t>
      </w:r>
    </w:p>
    <w:p w:rsidR="00CB06B3" w:rsidRPr="00594E5E" w:rsidRDefault="00CB06B3" w:rsidP="00CB06B3">
      <w:pPr>
        <w:adjustRightInd w:val="0"/>
        <w:spacing w:line="600" w:lineRule="exact"/>
        <w:ind w:firstLineChars="200" w:firstLine="640"/>
        <w:jc w:val="left"/>
        <w:rPr>
          <w:rFonts w:hint="eastAsia"/>
        </w:rPr>
      </w:pPr>
    </w:p>
    <w:p w:rsidR="009B3C3F" w:rsidRDefault="009B3C3F"/>
    <w:sectPr w:rsidR="009B3C3F" w:rsidSect="009B3C3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B06B3"/>
    <w:rsid w:val="00002E70"/>
    <w:rsid w:val="0000387F"/>
    <w:rsid w:val="00003D56"/>
    <w:rsid w:val="00004211"/>
    <w:rsid w:val="000051E3"/>
    <w:rsid w:val="00005836"/>
    <w:rsid w:val="00011C49"/>
    <w:rsid w:val="000127EC"/>
    <w:rsid w:val="00015C56"/>
    <w:rsid w:val="0001621B"/>
    <w:rsid w:val="00017C7E"/>
    <w:rsid w:val="0002091E"/>
    <w:rsid w:val="00021253"/>
    <w:rsid w:val="00021910"/>
    <w:rsid w:val="000237B2"/>
    <w:rsid w:val="0002467D"/>
    <w:rsid w:val="00024706"/>
    <w:rsid w:val="00025D2F"/>
    <w:rsid w:val="00026CD8"/>
    <w:rsid w:val="00026D2D"/>
    <w:rsid w:val="0003170C"/>
    <w:rsid w:val="000317EB"/>
    <w:rsid w:val="000321AE"/>
    <w:rsid w:val="000325ED"/>
    <w:rsid w:val="00032EEF"/>
    <w:rsid w:val="00033033"/>
    <w:rsid w:val="00033333"/>
    <w:rsid w:val="00036DD6"/>
    <w:rsid w:val="00036FE2"/>
    <w:rsid w:val="00040E2D"/>
    <w:rsid w:val="00041CA3"/>
    <w:rsid w:val="00042281"/>
    <w:rsid w:val="0004233E"/>
    <w:rsid w:val="00042F87"/>
    <w:rsid w:val="00044F04"/>
    <w:rsid w:val="00046459"/>
    <w:rsid w:val="000474E5"/>
    <w:rsid w:val="00047C4A"/>
    <w:rsid w:val="00050086"/>
    <w:rsid w:val="00051C72"/>
    <w:rsid w:val="0005403B"/>
    <w:rsid w:val="000540DE"/>
    <w:rsid w:val="000546BE"/>
    <w:rsid w:val="00057283"/>
    <w:rsid w:val="000623B7"/>
    <w:rsid w:val="00062C99"/>
    <w:rsid w:val="00062E6E"/>
    <w:rsid w:val="000639F0"/>
    <w:rsid w:val="00066685"/>
    <w:rsid w:val="000677E2"/>
    <w:rsid w:val="000678AF"/>
    <w:rsid w:val="00070854"/>
    <w:rsid w:val="000710DD"/>
    <w:rsid w:val="000718BB"/>
    <w:rsid w:val="000728BC"/>
    <w:rsid w:val="000729D7"/>
    <w:rsid w:val="00073D93"/>
    <w:rsid w:val="00074B5F"/>
    <w:rsid w:val="000761CD"/>
    <w:rsid w:val="000764C9"/>
    <w:rsid w:val="00082DE4"/>
    <w:rsid w:val="000836F2"/>
    <w:rsid w:val="00084CD0"/>
    <w:rsid w:val="00085077"/>
    <w:rsid w:val="000852FB"/>
    <w:rsid w:val="00085ADB"/>
    <w:rsid w:val="00085D8D"/>
    <w:rsid w:val="00087F9D"/>
    <w:rsid w:val="00090F37"/>
    <w:rsid w:val="00091512"/>
    <w:rsid w:val="00092293"/>
    <w:rsid w:val="00092C70"/>
    <w:rsid w:val="00093844"/>
    <w:rsid w:val="00093FFA"/>
    <w:rsid w:val="00094AE8"/>
    <w:rsid w:val="00095F7D"/>
    <w:rsid w:val="00096613"/>
    <w:rsid w:val="000A0F2F"/>
    <w:rsid w:val="000A435D"/>
    <w:rsid w:val="000A459F"/>
    <w:rsid w:val="000A5232"/>
    <w:rsid w:val="000A6068"/>
    <w:rsid w:val="000A61D3"/>
    <w:rsid w:val="000A6A62"/>
    <w:rsid w:val="000B28DC"/>
    <w:rsid w:val="000B34DC"/>
    <w:rsid w:val="000B361C"/>
    <w:rsid w:val="000B596C"/>
    <w:rsid w:val="000B6918"/>
    <w:rsid w:val="000B7B53"/>
    <w:rsid w:val="000C070E"/>
    <w:rsid w:val="000C1C87"/>
    <w:rsid w:val="000C244F"/>
    <w:rsid w:val="000C2E66"/>
    <w:rsid w:val="000C611A"/>
    <w:rsid w:val="000C7641"/>
    <w:rsid w:val="000C7872"/>
    <w:rsid w:val="000D114C"/>
    <w:rsid w:val="000D1A53"/>
    <w:rsid w:val="000D2498"/>
    <w:rsid w:val="000D340B"/>
    <w:rsid w:val="000D56A7"/>
    <w:rsid w:val="000D6308"/>
    <w:rsid w:val="000D6405"/>
    <w:rsid w:val="000D6CC7"/>
    <w:rsid w:val="000D791E"/>
    <w:rsid w:val="000D7D94"/>
    <w:rsid w:val="000E6004"/>
    <w:rsid w:val="000F00D2"/>
    <w:rsid w:val="000F0469"/>
    <w:rsid w:val="000F0A94"/>
    <w:rsid w:val="000F1930"/>
    <w:rsid w:val="000F1C9B"/>
    <w:rsid w:val="000F1F1A"/>
    <w:rsid w:val="000F2122"/>
    <w:rsid w:val="000F302A"/>
    <w:rsid w:val="000F35DA"/>
    <w:rsid w:val="000F46EF"/>
    <w:rsid w:val="000F6212"/>
    <w:rsid w:val="000F7301"/>
    <w:rsid w:val="000F7B9B"/>
    <w:rsid w:val="00101C66"/>
    <w:rsid w:val="00102B0F"/>
    <w:rsid w:val="00106A4B"/>
    <w:rsid w:val="00107419"/>
    <w:rsid w:val="00107654"/>
    <w:rsid w:val="0011475E"/>
    <w:rsid w:val="00115CDD"/>
    <w:rsid w:val="00115F47"/>
    <w:rsid w:val="00116246"/>
    <w:rsid w:val="00117683"/>
    <w:rsid w:val="0012058C"/>
    <w:rsid w:val="001209FE"/>
    <w:rsid w:val="00123D8B"/>
    <w:rsid w:val="001246CC"/>
    <w:rsid w:val="0012616A"/>
    <w:rsid w:val="00126B96"/>
    <w:rsid w:val="00130086"/>
    <w:rsid w:val="00130DCE"/>
    <w:rsid w:val="00134AFD"/>
    <w:rsid w:val="0013689B"/>
    <w:rsid w:val="00137ED1"/>
    <w:rsid w:val="001405DC"/>
    <w:rsid w:val="001413A3"/>
    <w:rsid w:val="00142FB5"/>
    <w:rsid w:val="0014626F"/>
    <w:rsid w:val="001477FB"/>
    <w:rsid w:val="001500BD"/>
    <w:rsid w:val="001506FB"/>
    <w:rsid w:val="00150CD8"/>
    <w:rsid w:val="00151B53"/>
    <w:rsid w:val="00151BCB"/>
    <w:rsid w:val="00152117"/>
    <w:rsid w:val="00153404"/>
    <w:rsid w:val="001537BD"/>
    <w:rsid w:val="001543A5"/>
    <w:rsid w:val="001574CA"/>
    <w:rsid w:val="001605F8"/>
    <w:rsid w:val="00160D30"/>
    <w:rsid w:val="001611FA"/>
    <w:rsid w:val="00161513"/>
    <w:rsid w:val="001624BD"/>
    <w:rsid w:val="0016303C"/>
    <w:rsid w:val="001653EE"/>
    <w:rsid w:val="00165D22"/>
    <w:rsid w:val="00171773"/>
    <w:rsid w:val="00172AC4"/>
    <w:rsid w:val="0017354D"/>
    <w:rsid w:val="00175A02"/>
    <w:rsid w:val="00175BE0"/>
    <w:rsid w:val="00175C48"/>
    <w:rsid w:val="00175F38"/>
    <w:rsid w:val="0017605C"/>
    <w:rsid w:val="001767F6"/>
    <w:rsid w:val="001812E1"/>
    <w:rsid w:val="001835D0"/>
    <w:rsid w:val="00183768"/>
    <w:rsid w:val="0018380B"/>
    <w:rsid w:val="001840BD"/>
    <w:rsid w:val="00185136"/>
    <w:rsid w:val="00185CDB"/>
    <w:rsid w:val="00187659"/>
    <w:rsid w:val="001907C6"/>
    <w:rsid w:val="00191966"/>
    <w:rsid w:val="00192CBA"/>
    <w:rsid w:val="001939D0"/>
    <w:rsid w:val="0019673B"/>
    <w:rsid w:val="00197D9C"/>
    <w:rsid w:val="001A02E3"/>
    <w:rsid w:val="001A1573"/>
    <w:rsid w:val="001A2A8B"/>
    <w:rsid w:val="001A44C3"/>
    <w:rsid w:val="001A5699"/>
    <w:rsid w:val="001A5F40"/>
    <w:rsid w:val="001A7199"/>
    <w:rsid w:val="001B31CA"/>
    <w:rsid w:val="001B602E"/>
    <w:rsid w:val="001B71CA"/>
    <w:rsid w:val="001B75C9"/>
    <w:rsid w:val="001C03F3"/>
    <w:rsid w:val="001C16CE"/>
    <w:rsid w:val="001C4783"/>
    <w:rsid w:val="001C5100"/>
    <w:rsid w:val="001C6672"/>
    <w:rsid w:val="001D1C5C"/>
    <w:rsid w:val="001D3321"/>
    <w:rsid w:val="001D5246"/>
    <w:rsid w:val="001D61C0"/>
    <w:rsid w:val="001D6301"/>
    <w:rsid w:val="001D78D7"/>
    <w:rsid w:val="001E1CFD"/>
    <w:rsid w:val="001E22CD"/>
    <w:rsid w:val="001E23EE"/>
    <w:rsid w:val="001E52E4"/>
    <w:rsid w:val="001E5500"/>
    <w:rsid w:val="001E7D05"/>
    <w:rsid w:val="001F0BDC"/>
    <w:rsid w:val="001F27F4"/>
    <w:rsid w:val="001F2FDB"/>
    <w:rsid w:val="001F53B6"/>
    <w:rsid w:val="001F60CC"/>
    <w:rsid w:val="00200A6E"/>
    <w:rsid w:val="00200F9D"/>
    <w:rsid w:val="00202432"/>
    <w:rsid w:val="00205928"/>
    <w:rsid w:val="002066D9"/>
    <w:rsid w:val="00206A27"/>
    <w:rsid w:val="0020782C"/>
    <w:rsid w:val="002104D3"/>
    <w:rsid w:val="00211A13"/>
    <w:rsid w:val="00211A7C"/>
    <w:rsid w:val="00212096"/>
    <w:rsid w:val="00213EF1"/>
    <w:rsid w:val="002171C3"/>
    <w:rsid w:val="0022016A"/>
    <w:rsid w:val="002221EF"/>
    <w:rsid w:val="00223FC4"/>
    <w:rsid w:val="00224A2C"/>
    <w:rsid w:val="00227210"/>
    <w:rsid w:val="00227529"/>
    <w:rsid w:val="00230C78"/>
    <w:rsid w:val="00231649"/>
    <w:rsid w:val="0023235D"/>
    <w:rsid w:val="002343D6"/>
    <w:rsid w:val="002347F7"/>
    <w:rsid w:val="0023566B"/>
    <w:rsid w:val="0023636F"/>
    <w:rsid w:val="00237C32"/>
    <w:rsid w:val="00241DE3"/>
    <w:rsid w:val="0024220E"/>
    <w:rsid w:val="0024337A"/>
    <w:rsid w:val="002473B9"/>
    <w:rsid w:val="00247A44"/>
    <w:rsid w:val="0025125B"/>
    <w:rsid w:val="002518AC"/>
    <w:rsid w:val="00254774"/>
    <w:rsid w:val="00254AE1"/>
    <w:rsid w:val="00254B84"/>
    <w:rsid w:val="00256F81"/>
    <w:rsid w:val="002601FD"/>
    <w:rsid w:val="0026306D"/>
    <w:rsid w:val="00266D6B"/>
    <w:rsid w:val="00267E75"/>
    <w:rsid w:val="00270950"/>
    <w:rsid w:val="00273B77"/>
    <w:rsid w:val="00275C9C"/>
    <w:rsid w:val="0027625D"/>
    <w:rsid w:val="00277404"/>
    <w:rsid w:val="00280DBE"/>
    <w:rsid w:val="00283289"/>
    <w:rsid w:val="0028342A"/>
    <w:rsid w:val="00283BE5"/>
    <w:rsid w:val="00285A00"/>
    <w:rsid w:val="00285AC3"/>
    <w:rsid w:val="0028775D"/>
    <w:rsid w:val="0029536F"/>
    <w:rsid w:val="00296AE9"/>
    <w:rsid w:val="002A14DF"/>
    <w:rsid w:val="002A2A85"/>
    <w:rsid w:val="002A3ED6"/>
    <w:rsid w:val="002A5332"/>
    <w:rsid w:val="002A6736"/>
    <w:rsid w:val="002A70DF"/>
    <w:rsid w:val="002B35F1"/>
    <w:rsid w:val="002B3B4A"/>
    <w:rsid w:val="002B3F48"/>
    <w:rsid w:val="002B4067"/>
    <w:rsid w:val="002B5356"/>
    <w:rsid w:val="002B5A83"/>
    <w:rsid w:val="002B61D4"/>
    <w:rsid w:val="002B6622"/>
    <w:rsid w:val="002B6A90"/>
    <w:rsid w:val="002B6E74"/>
    <w:rsid w:val="002B752F"/>
    <w:rsid w:val="002C2EF3"/>
    <w:rsid w:val="002C343D"/>
    <w:rsid w:val="002C3AC1"/>
    <w:rsid w:val="002C405D"/>
    <w:rsid w:val="002C45D2"/>
    <w:rsid w:val="002C7BF9"/>
    <w:rsid w:val="002C7CB6"/>
    <w:rsid w:val="002D146A"/>
    <w:rsid w:val="002D154D"/>
    <w:rsid w:val="002D1A0F"/>
    <w:rsid w:val="002D2679"/>
    <w:rsid w:val="002D2F1B"/>
    <w:rsid w:val="002D345D"/>
    <w:rsid w:val="002D431E"/>
    <w:rsid w:val="002D622B"/>
    <w:rsid w:val="002D7E6A"/>
    <w:rsid w:val="002E17DE"/>
    <w:rsid w:val="002E1BA9"/>
    <w:rsid w:val="002E2AB1"/>
    <w:rsid w:val="002E30F6"/>
    <w:rsid w:val="002E4207"/>
    <w:rsid w:val="002E4E42"/>
    <w:rsid w:val="002E572B"/>
    <w:rsid w:val="002E68B6"/>
    <w:rsid w:val="002E70A3"/>
    <w:rsid w:val="002E7FF1"/>
    <w:rsid w:val="002F058A"/>
    <w:rsid w:val="002F068C"/>
    <w:rsid w:val="002F10D1"/>
    <w:rsid w:val="002F5722"/>
    <w:rsid w:val="002F5874"/>
    <w:rsid w:val="002F64E3"/>
    <w:rsid w:val="002F6903"/>
    <w:rsid w:val="002F71CC"/>
    <w:rsid w:val="002F7E7A"/>
    <w:rsid w:val="003003CF"/>
    <w:rsid w:val="00300854"/>
    <w:rsid w:val="00303038"/>
    <w:rsid w:val="00303264"/>
    <w:rsid w:val="00304117"/>
    <w:rsid w:val="00304241"/>
    <w:rsid w:val="00304697"/>
    <w:rsid w:val="0030481D"/>
    <w:rsid w:val="00304C07"/>
    <w:rsid w:val="0030508A"/>
    <w:rsid w:val="003053FF"/>
    <w:rsid w:val="0030774B"/>
    <w:rsid w:val="00310D7A"/>
    <w:rsid w:val="00317BEA"/>
    <w:rsid w:val="00320CD5"/>
    <w:rsid w:val="0032213F"/>
    <w:rsid w:val="0032270F"/>
    <w:rsid w:val="003241AA"/>
    <w:rsid w:val="00326E2F"/>
    <w:rsid w:val="00327960"/>
    <w:rsid w:val="00327DCA"/>
    <w:rsid w:val="00327EC4"/>
    <w:rsid w:val="00330760"/>
    <w:rsid w:val="00330FEA"/>
    <w:rsid w:val="00331BEF"/>
    <w:rsid w:val="003333DE"/>
    <w:rsid w:val="0033470B"/>
    <w:rsid w:val="003358DF"/>
    <w:rsid w:val="00336838"/>
    <w:rsid w:val="00336FF8"/>
    <w:rsid w:val="00340852"/>
    <w:rsid w:val="00340A39"/>
    <w:rsid w:val="003415FC"/>
    <w:rsid w:val="0034163B"/>
    <w:rsid w:val="003435A8"/>
    <w:rsid w:val="0034676E"/>
    <w:rsid w:val="00350787"/>
    <w:rsid w:val="00350A64"/>
    <w:rsid w:val="0035208B"/>
    <w:rsid w:val="00352D66"/>
    <w:rsid w:val="00353C45"/>
    <w:rsid w:val="0035625C"/>
    <w:rsid w:val="00357C08"/>
    <w:rsid w:val="00357CF0"/>
    <w:rsid w:val="00357E60"/>
    <w:rsid w:val="00360CD0"/>
    <w:rsid w:val="00362949"/>
    <w:rsid w:val="00367105"/>
    <w:rsid w:val="003708B5"/>
    <w:rsid w:val="003715E1"/>
    <w:rsid w:val="003733DB"/>
    <w:rsid w:val="00374413"/>
    <w:rsid w:val="003744B3"/>
    <w:rsid w:val="00380330"/>
    <w:rsid w:val="0038399C"/>
    <w:rsid w:val="00383D94"/>
    <w:rsid w:val="0038457A"/>
    <w:rsid w:val="00384E7A"/>
    <w:rsid w:val="00385FF5"/>
    <w:rsid w:val="00386169"/>
    <w:rsid w:val="0038697D"/>
    <w:rsid w:val="00391845"/>
    <w:rsid w:val="003936BF"/>
    <w:rsid w:val="003942D2"/>
    <w:rsid w:val="0039495B"/>
    <w:rsid w:val="003A1A05"/>
    <w:rsid w:val="003A2013"/>
    <w:rsid w:val="003A2141"/>
    <w:rsid w:val="003A418A"/>
    <w:rsid w:val="003A41D6"/>
    <w:rsid w:val="003A4F40"/>
    <w:rsid w:val="003B04CB"/>
    <w:rsid w:val="003B098D"/>
    <w:rsid w:val="003B0BB6"/>
    <w:rsid w:val="003B1167"/>
    <w:rsid w:val="003B1F51"/>
    <w:rsid w:val="003B24E9"/>
    <w:rsid w:val="003B2515"/>
    <w:rsid w:val="003B2AEA"/>
    <w:rsid w:val="003C17FF"/>
    <w:rsid w:val="003C5919"/>
    <w:rsid w:val="003D02D4"/>
    <w:rsid w:val="003D040D"/>
    <w:rsid w:val="003D2668"/>
    <w:rsid w:val="003D3CCF"/>
    <w:rsid w:val="003E06F9"/>
    <w:rsid w:val="003E3AF9"/>
    <w:rsid w:val="003E3C0E"/>
    <w:rsid w:val="003E6986"/>
    <w:rsid w:val="003E707E"/>
    <w:rsid w:val="003E73F6"/>
    <w:rsid w:val="003F1A38"/>
    <w:rsid w:val="003F3C37"/>
    <w:rsid w:val="003F77D3"/>
    <w:rsid w:val="003F7FC7"/>
    <w:rsid w:val="00400745"/>
    <w:rsid w:val="004007C9"/>
    <w:rsid w:val="0040102E"/>
    <w:rsid w:val="004025DC"/>
    <w:rsid w:val="00402FBA"/>
    <w:rsid w:val="004036AA"/>
    <w:rsid w:val="004036F8"/>
    <w:rsid w:val="00403CB5"/>
    <w:rsid w:val="0040437C"/>
    <w:rsid w:val="004045FF"/>
    <w:rsid w:val="004062F1"/>
    <w:rsid w:val="0040773F"/>
    <w:rsid w:val="00407F4F"/>
    <w:rsid w:val="0041041D"/>
    <w:rsid w:val="00410EF8"/>
    <w:rsid w:val="00415C8F"/>
    <w:rsid w:val="00416DF0"/>
    <w:rsid w:val="00417693"/>
    <w:rsid w:val="00417A42"/>
    <w:rsid w:val="00420D92"/>
    <w:rsid w:val="00423B88"/>
    <w:rsid w:val="00424624"/>
    <w:rsid w:val="0042497D"/>
    <w:rsid w:val="0043021B"/>
    <w:rsid w:val="00432466"/>
    <w:rsid w:val="0043378E"/>
    <w:rsid w:val="004364B9"/>
    <w:rsid w:val="00442251"/>
    <w:rsid w:val="00442CC5"/>
    <w:rsid w:val="00443421"/>
    <w:rsid w:val="004456C5"/>
    <w:rsid w:val="004462DC"/>
    <w:rsid w:val="004472DB"/>
    <w:rsid w:val="0045026E"/>
    <w:rsid w:val="004506FC"/>
    <w:rsid w:val="00457270"/>
    <w:rsid w:val="00457A1A"/>
    <w:rsid w:val="0046054E"/>
    <w:rsid w:val="00462220"/>
    <w:rsid w:val="00464A74"/>
    <w:rsid w:val="004667AA"/>
    <w:rsid w:val="00472E5F"/>
    <w:rsid w:val="0047704F"/>
    <w:rsid w:val="00477B01"/>
    <w:rsid w:val="00482B12"/>
    <w:rsid w:val="00483DA4"/>
    <w:rsid w:val="00485AC3"/>
    <w:rsid w:val="00487390"/>
    <w:rsid w:val="00491994"/>
    <w:rsid w:val="004920D3"/>
    <w:rsid w:val="00493179"/>
    <w:rsid w:val="00495B84"/>
    <w:rsid w:val="004979BC"/>
    <w:rsid w:val="004A374C"/>
    <w:rsid w:val="004B0D68"/>
    <w:rsid w:val="004B21BD"/>
    <w:rsid w:val="004B2B44"/>
    <w:rsid w:val="004B4BE6"/>
    <w:rsid w:val="004B630E"/>
    <w:rsid w:val="004B7550"/>
    <w:rsid w:val="004B7CE5"/>
    <w:rsid w:val="004C3039"/>
    <w:rsid w:val="004C55E6"/>
    <w:rsid w:val="004C69FF"/>
    <w:rsid w:val="004C6D61"/>
    <w:rsid w:val="004C7646"/>
    <w:rsid w:val="004C792F"/>
    <w:rsid w:val="004D421D"/>
    <w:rsid w:val="004D54AF"/>
    <w:rsid w:val="004D5AE8"/>
    <w:rsid w:val="004D712E"/>
    <w:rsid w:val="004E10EA"/>
    <w:rsid w:val="004E20EF"/>
    <w:rsid w:val="004E2659"/>
    <w:rsid w:val="004E3F06"/>
    <w:rsid w:val="004E51E0"/>
    <w:rsid w:val="004E5F56"/>
    <w:rsid w:val="004E7113"/>
    <w:rsid w:val="004E71D3"/>
    <w:rsid w:val="004F4828"/>
    <w:rsid w:val="004F56EC"/>
    <w:rsid w:val="004F7BFD"/>
    <w:rsid w:val="00500160"/>
    <w:rsid w:val="00501E21"/>
    <w:rsid w:val="00501E45"/>
    <w:rsid w:val="005028B2"/>
    <w:rsid w:val="00502978"/>
    <w:rsid w:val="00503C6D"/>
    <w:rsid w:val="00505187"/>
    <w:rsid w:val="00510C82"/>
    <w:rsid w:val="00512EDF"/>
    <w:rsid w:val="0051348D"/>
    <w:rsid w:val="00514CF2"/>
    <w:rsid w:val="00515370"/>
    <w:rsid w:val="00515A1E"/>
    <w:rsid w:val="005169CB"/>
    <w:rsid w:val="00521881"/>
    <w:rsid w:val="00523ACB"/>
    <w:rsid w:val="00524CB1"/>
    <w:rsid w:val="005252F1"/>
    <w:rsid w:val="00532139"/>
    <w:rsid w:val="00533E46"/>
    <w:rsid w:val="005351DE"/>
    <w:rsid w:val="00537BF3"/>
    <w:rsid w:val="005406B3"/>
    <w:rsid w:val="00544D18"/>
    <w:rsid w:val="00544F08"/>
    <w:rsid w:val="005458EA"/>
    <w:rsid w:val="00545A08"/>
    <w:rsid w:val="00545F54"/>
    <w:rsid w:val="00550D62"/>
    <w:rsid w:val="00551B26"/>
    <w:rsid w:val="005520B0"/>
    <w:rsid w:val="0055297D"/>
    <w:rsid w:val="00552B29"/>
    <w:rsid w:val="005530F0"/>
    <w:rsid w:val="00553312"/>
    <w:rsid w:val="00553AB8"/>
    <w:rsid w:val="00553E4A"/>
    <w:rsid w:val="00556A2B"/>
    <w:rsid w:val="00557D18"/>
    <w:rsid w:val="0056096A"/>
    <w:rsid w:val="00560B45"/>
    <w:rsid w:val="005611D2"/>
    <w:rsid w:val="00562E04"/>
    <w:rsid w:val="00563A8B"/>
    <w:rsid w:val="005647B5"/>
    <w:rsid w:val="005659EB"/>
    <w:rsid w:val="00565A49"/>
    <w:rsid w:val="00566501"/>
    <w:rsid w:val="005678F3"/>
    <w:rsid w:val="0057229B"/>
    <w:rsid w:val="00574001"/>
    <w:rsid w:val="00574B53"/>
    <w:rsid w:val="00575C5F"/>
    <w:rsid w:val="005770B7"/>
    <w:rsid w:val="00581F2B"/>
    <w:rsid w:val="00582E81"/>
    <w:rsid w:val="00583E48"/>
    <w:rsid w:val="00584A19"/>
    <w:rsid w:val="00585E8F"/>
    <w:rsid w:val="00592502"/>
    <w:rsid w:val="00595CC9"/>
    <w:rsid w:val="005A09D8"/>
    <w:rsid w:val="005A1CA2"/>
    <w:rsid w:val="005A3616"/>
    <w:rsid w:val="005A3B7E"/>
    <w:rsid w:val="005A4726"/>
    <w:rsid w:val="005A572A"/>
    <w:rsid w:val="005B0C2D"/>
    <w:rsid w:val="005B237C"/>
    <w:rsid w:val="005B23DB"/>
    <w:rsid w:val="005B3776"/>
    <w:rsid w:val="005B59C1"/>
    <w:rsid w:val="005B5FD2"/>
    <w:rsid w:val="005B6AD4"/>
    <w:rsid w:val="005C1359"/>
    <w:rsid w:val="005C56C7"/>
    <w:rsid w:val="005C5C3E"/>
    <w:rsid w:val="005D0D05"/>
    <w:rsid w:val="005D4743"/>
    <w:rsid w:val="005D558A"/>
    <w:rsid w:val="005D7FD8"/>
    <w:rsid w:val="005E0547"/>
    <w:rsid w:val="005E27C2"/>
    <w:rsid w:val="005E3724"/>
    <w:rsid w:val="005E414F"/>
    <w:rsid w:val="005E45CC"/>
    <w:rsid w:val="005F020A"/>
    <w:rsid w:val="005F169E"/>
    <w:rsid w:val="005F2F22"/>
    <w:rsid w:val="005F40E7"/>
    <w:rsid w:val="005F508C"/>
    <w:rsid w:val="005F652B"/>
    <w:rsid w:val="005F6FBF"/>
    <w:rsid w:val="00604429"/>
    <w:rsid w:val="00604E03"/>
    <w:rsid w:val="00605340"/>
    <w:rsid w:val="006056B6"/>
    <w:rsid w:val="0060632B"/>
    <w:rsid w:val="00606EA4"/>
    <w:rsid w:val="00611F14"/>
    <w:rsid w:val="006135D1"/>
    <w:rsid w:val="00615521"/>
    <w:rsid w:val="00615AE8"/>
    <w:rsid w:val="00615B08"/>
    <w:rsid w:val="00616ABE"/>
    <w:rsid w:val="00621D9D"/>
    <w:rsid w:val="00622E2C"/>
    <w:rsid w:val="006258D8"/>
    <w:rsid w:val="00626072"/>
    <w:rsid w:val="00626AB1"/>
    <w:rsid w:val="00630062"/>
    <w:rsid w:val="006314FE"/>
    <w:rsid w:val="00632D50"/>
    <w:rsid w:val="006332DB"/>
    <w:rsid w:val="0063450C"/>
    <w:rsid w:val="0063496D"/>
    <w:rsid w:val="0063563B"/>
    <w:rsid w:val="006358A7"/>
    <w:rsid w:val="00636C0A"/>
    <w:rsid w:val="006379BE"/>
    <w:rsid w:val="006406F5"/>
    <w:rsid w:val="00640751"/>
    <w:rsid w:val="006427F9"/>
    <w:rsid w:val="0064342D"/>
    <w:rsid w:val="00643D6A"/>
    <w:rsid w:val="00644C0D"/>
    <w:rsid w:val="00644F0F"/>
    <w:rsid w:val="0065254D"/>
    <w:rsid w:val="0065354D"/>
    <w:rsid w:val="006553B4"/>
    <w:rsid w:val="006568A1"/>
    <w:rsid w:val="00657028"/>
    <w:rsid w:val="006571B3"/>
    <w:rsid w:val="00657B53"/>
    <w:rsid w:val="00657CC1"/>
    <w:rsid w:val="00662A08"/>
    <w:rsid w:val="00664167"/>
    <w:rsid w:val="00667977"/>
    <w:rsid w:val="00670207"/>
    <w:rsid w:val="006703E1"/>
    <w:rsid w:val="006707CC"/>
    <w:rsid w:val="0067432B"/>
    <w:rsid w:val="006748C2"/>
    <w:rsid w:val="00676F8D"/>
    <w:rsid w:val="006778BE"/>
    <w:rsid w:val="00682238"/>
    <w:rsid w:val="006828B7"/>
    <w:rsid w:val="00682A55"/>
    <w:rsid w:val="006833F0"/>
    <w:rsid w:val="00687AC7"/>
    <w:rsid w:val="00691527"/>
    <w:rsid w:val="0069173F"/>
    <w:rsid w:val="00694AD4"/>
    <w:rsid w:val="00694DBB"/>
    <w:rsid w:val="006970CB"/>
    <w:rsid w:val="00697299"/>
    <w:rsid w:val="00697BA3"/>
    <w:rsid w:val="006A00F1"/>
    <w:rsid w:val="006A03AA"/>
    <w:rsid w:val="006A08C1"/>
    <w:rsid w:val="006A0BBA"/>
    <w:rsid w:val="006A3830"/>
    <w:rsid w:val="006A3972"/>
    <w:rsid w:val="006A49D4"/>
    <w:rsid w:val="006B2D46"/>
    <w:rsid w:val="006B397B"/>
    <w:rsid w:val="006B3AF2"/>
    <w:rsid w:val="006B4001"/>
    <w:rsid w:val="006B540C"/>
    <w:rsid w:val="006B634C"/>
    <w:rsid w:val="006B6B55"/>
    <w:rsid w:val="006B7221"/>
    <w:rsid w:val="006C19CC"/>
    <w:rsid w:val="006C225C"/>
    <w:rsid w:val="006C2826"/>
    <w:rsid w:val="006D3427"/>
    <w:rsid w:val="006D3B6A"/>
    <w:rsid w:val="006D3F99"/>
    <w:rsid w:val="006D4445"/>
    <w:rsid w:val="006D455B"/>
    <w:rsid w:val="006D632B"/>
    <w:rsid w:val="006D7F49"/>
    <w:rsid w:val="006E0097"/>
    <w:rsid w:val="006E0F6A"/>
    <w:rsid w:val="006E195F"/>
    <w:rsid w:val="006E1E8F"/>
    <w:rsid w:val="006E29FE"/>
    <w:rsid w:val="006E3AA3"/>
    <w:rsid w:val="006E59EF"/>
    <w:rsid w:val="006F09D0"/>
    <w:rsid w:val="006F0E25"/>
    <w:rsid w:val="006F2C5B"/>
    <w:rsid w:val="006F3208"/>
    <w:rsid w:val="006F528E"/>
    <w:rsid w:val="006F5650"/>
    <w:rsid w:val="006F61E3"/>
    <w:rsid w:val="00700241"/>
    <w:rsid w:val="007013EC"/>
    <w:rsid w:val="007024DB"/>
    <w:rsid w:val="0070329D"/>
    <w:rsid w:val="00704264"/>
    <w:rsid w:val="0070468C"/>
    <w:rsid w:val="00706A7D"/>
    <w:rsid w:val="00706E34"/>
    <w:rsid w:val="00707F2E"/>
    <w:rsid w:val="007101DC"/>
    <w:rsid w:val="00710C08"/>
    <w:rsid w:val="00711965"/>
    <w:rsid w:val="0071274F"/>
    <w:rsid w:val="007130DD"/>
    <w:rsid w:val="00713C8C"/>
    <w:rsid w:val="00713DC8"/>
    <w:rsid w:val="00715EA4"/>
    <w:rsid w:val="00721A6A"/>
    <w:rsid w:val="00724438"/>
    <w:rsid w:val="00731613"/>
    <w:rsid w:val="00733271"/>
    <w:rsid w:val="00735698"/>
    <w:rsid w:val="00736F15"/>
    <w:rsid w:val="00737B65"/>
    <w:rsid w:val="007411D0"/>
    <w:rsid w:val="00741814"/>
    <w:rsid w:val="00742785"/>
    <w:rsid w:val="0074510E"/>
    <w:rsid w:val="007456BD"/>
    <w:rsid w:val="0074689D"/>
    <w:rsid w:val="00746E92"/>
    <w:rsid w:val="007471ED"/>
    <w:rsid w:val="00747A73"/>
    <w:rsid w:val="00750B4B"/>
    <w:rsid w:val="00752EC0"/>
    <w:rsid w:val="007530A8"/>
    <w:rsid w:val="0075446A"/>
    <w:rsid w:val="007545A2"/>
    <w:rsid w:val="0075746D"/>
    <w:rsid w:val="00757FB0"/>
    <w:rsid w:val="007610F3"/>
    <w:rsid w:val="0076293A"/>
    <w:rsid w:val="00763359"/>
    <w:rsid w:val="0076479A"/>
    <w:rsid w:val="00773440"/>
    <w:rsid w:val="00773BBE"/>
    <w:rsid w:val="00773F6A"/>
    <w:rsid w:val="00777C74"/>
    <w:rsid w:val="00777D5A"/>
    <w:rsid w:val="00781B92"/>
    <w:rsid w:val="00781C22"/>
    <w:rsid w:val="00782DF3"/>
    <w:rsid w:val="00784792"/>
    <w:rsid w:val="0078605F"/>
    <w:rsid w:val="00786A56"/>
    <w:rsid w:val="00787A6E"/>
    <w:rsid w:val="00787AC6"/>
    <w:rsid w:val="0079072C"/>
    <w:rsid w:val="0079155C"/>
    <w:rsid w:val="0079508A"/>
    <w:rsid w:val="007965B5"/>
    <w:rsid w:val="00797857"/>
    <w:rsid w:val="00797B15"/>
    <w:rsid w:val="007A051B"/>
    <w:rsid w:val="007A1D9A"/>
    <w:rsid w:val="007A29DF"/>
    <w:rsid w:val="007A2EEB"/>
    <w:rsid w:val="007A49A0"/>
    <w:rsid w:val="007A4E23"/>
    <w:rsid w:val="007A6102"/>
    <w:rsid w:val="007A6D9D"/>
    <w:rsid w:val="007A71AA"/>
    <w:rsid w:val="007B2F7A"/>
    <w:rsid w:val="007B39D8"/>
    <w:rsid w:val="007B40E7"/>
    <w:rsid w:val="007C0041"/>
    <w:rsid w:val="007C2953"/>
    <w:rsid w:val="007C3DC2"/>
    <w:rsid w:val="007C462F"/>
    <w:rsid w:val="007C777B"/>
    <w:rsid w:val="007D0DE1"/>
    <w:rsid w:val="007D312B"/>
    <w:rsid w:val="007D31A2"/>
    <w:rsid w:val="007D5725"/>
    <w:rsid w:val="007D5B38"/>
    <w:rsid w:val="007D66BC"/>
    <w:rsid w:val="007E033D"/>
    <w:rsid w:val="007E0926"/>
    <w:rsid w:val="007E193B"/>
    <w:rsid w:val="007E2D2C"/>
    <w:rsid w:val="007E4B0F"/>
    <w:rsid w:val="007E6405"/>
    <w:rsid w:val="007E72A9"/>
    <w:rsid w:val="007E7FA1"/>
    <w:rsid w:val="007F0F7C"/>
    <w:rsid w:val="007F2448"/>
    <w:rsid w:val="007F2D53"/>
    <w:rsid w:val="007F6E3C"/>
    <w:rsid w:val="007F6EBE"/>
    <w:rsid w:val="007F7218"/>
    <w:rsid w:val="007F7AC3"/>
    <w:rsid w:val="007F7E5A"/>
    <w:rsid w:val="0080023A"/>
    <w:rsid w:val="00800785"/>
    <w:rsid w:val="00801525"/>
    <w:rsid w:val="00801A37"/>
    <w:rsid w:val="008020D9"/>
    <w:rsid w:val="00802663"/>
    <w:rsid w:val="00802B90"/>
    <w:rsid w:val="008049B4"/>
    <w:rsid w:val="00806FAE"/>
    <w:rsid w:val="008105ED"/>
    <w:rsid w:val="00811330"/>
    <w:rsid w:val="00811E9D"/>
    <w:rsid w:val="008124DC"/>
    <w:rsid w:val="0081502B"/>
    <w:rsid w:val="00817B1D"/>
    <w:rsid w:val="008202FC"/>
    <w:rsid w:val="00821F9A"/>
    <w:rsid w:val="00822539"/>
    <w:rsid w:val="00824002"/>
    <w:rsid w:val="00826E6A"/>
    <w:rsid w:val="00830461"/>
    <w:rsid w:val="00830C1E"/>
    <w:rsid w:val="008319D3"/>
    <w:rsid w:val="008332DE"/>
    <w:rsid w:val="00835370"/>
    <w:rsid w:val="00835E52"/>
    <w:rsid w:val="00840981"/>
    <w:rsid w:val="008415EC"/>
    <w:rsid w:val="00845861"/>
    <w:rsid w:val="00846A9A"/>
    <w:rsid w:val="00847238"/>
    <w:rsid w:val="00847BBA"/>
    <w:rsid w:val="00850168"/>
    <w:rsid w:val="008518E6"/>
    <w:rsid w:val="008555F2"/>
    <w:rsid w:val="0085707F"/>
    <w:rsid w:val="00857901"/>
    <w:rsid w:val="008649C1"/>
    <w:rsid w:val="00867D84"/>
    <w:rsid w:val="00871219"/>
    <w:rsid w:val="00872E58"/>
    <w:rsid w:val="00873BAB"/>
    <w:rsid w:val="00875BCF"/>
    <w:rsid w:val="00875F50"/>
    <w:rsid w:val="0087641A"/>
    <w:rsid w:val="00876CA4"/>
    <w:rsid w:val="008771CB"/>
    <w:rsid w:val="00880DED"/>
    <w:rsid w:val="00882849"/>
    <w:rsid w:val="00886CCA"/>
    <w:rsid w:val="00891E5A"/>
    <w:rsid w:val="00894D2D"/>
    <w:rsid w:val="00895783"/>
    <w:rsid w:val="00895811"/>
    <w:rsid w:val="008970F2"/>
    <w:rsid w:val="00897BDD"/>
    <w:rsid w:val="008A1896"/>
    <w:rsid w:val="008A2E14"/>
    <w:rsid w:val="008A47CA"/>
    <w:rsid w:val="008A5148"/>
    <w:rsid w:val="008A70E2"/>
    <w:rsid w:val="008A743D"/>
    <w:rsid w:val="008B06C3"/>
    <w:rsid w:val="008B1072"/>
    <w:rsid w:val="008B11D8"/>
    <w:rsid w:val="008B1994"/>
    <w:rsid w:val="008B1F2F"/>
    <w:rsid w:val="008B4850"/>
    <w:rsid w:val="008B5318"/>
    <w:rsid w:val="008B5618"/>
    <w:rsid w:val="008C1E43"/>
    <w:rsid w:val="008C389E"/>
    <w:rsid w:val="008C4CF0"/>
    <w:rsid w:val="008C65C2"/>
    <w:rsid w:val="008C6690"/>
    <w:rsid w:val="008C7F5B"/>
    <w:rsid w:val="008D021B"/>
    <w:rsid w:val="008D33B6"/>
    <w:rsid w:val="008D56EF"/>
    <w:rsid w:val="008E0F2C"/>
    <w:rsid w:val="008E2E3C"/>
    <w:rsid w:val="008E3054"/>
    <w:rsid w:val="008E4404"/>
    <w:rsid w:val="008E595F"/>
    <w:rsid w:val="008E6AC6"/>
    <w:rsid w:val="008E6FD5"/>
    <w:rsid w:val="008F3C3B"/>
    <w:rsid w:val="008F43B6"/>
    <w:rsid w:val="008F4544"/>
    <w:rsid w:val="008F5249"/>
    <w:rsid w:val="008F5326"/>
    <w:rsid w:val="008F672B"/>
    <w:rsid w:val="008F69AC"/>
    <w:rsid w:val="00903298"/>
    <w:rsid w:val="009035D2"/>
    <w:rsid w:val="00903684"/>
    <w:rsid w:val="009049D6"/>
    <w:rsid w:val="009054F0"/>
    <w:rsid w:val="009060F9"/>
    <w:rsid w:val="0090780D"/>
    <w:rsid w:val="00910231"/>
    <w:rsid w:val="009108D1"/>
    <w:rsid w:val="00912450"/>
    <w:rsid w:val="00912898"/>
    <w:rsid w:val="00913AD6"/>
    <w:rsid w:val="00914E52"/>
    <w:rsid w:val="00915698"/>
    <w:rsid w:val="00917282"/>
    <w:rsid w:val="00917409"/>
    <w:rsid w:val="00917694"/>
    <w:rsid w:val="00917C29"/>
    <w:rsid w:val="009223C4"/>
    <w:rsid w:val="00924720"/>
    <w:rsid w:val="0092596E"/>
    <w:rsid w:val="00925988"/>
    <w:rsid w:val="0092602B"/>
    <w:rsid w:val="0092613A"/>
    <w:rsid w:val="00927A6A"/>
    <w:rsid w:val="00930246"/>
    <w:rsid w:val="00931831"/>
    <w:rsid w:val="00932D17"/>
    <w:rsid w:val="009330C2"/>
    <w:rsid w:val="00933F7F"/>
    <w:rsid w:val="00934397"/>
    <w:rsid w:val="00935092"/>
    <w:rsid w:val="00935D19"/>
    <w:rsid w:val="00936720"/>
    <w:rsid w:val="00936C71"/>
    <w:rsid w:val="009377B4"/>
    <w:rsid w:val="00940104"/>
    <w:rsid w:val="009414BE"/>
    <w:rsid w:val="009424ED"/>
    <w:rsid w:val="00942AA5"/>
    <w:rsid w:val="00944133"/>
    <w:rsid w:val="00947563"/>
    <w:rsid w:val="00947E7A"/>
    <w:rsid w:val="00950E27"/>
    <w:rsid w:val="00951ACC"/>
    <w:rsid w:val="009539AB"/>
    <w:rsid w:val="009552C3"/>
    <w:rsid w:val="009579A2"/>
    <w:rsid w:val="00960725"/>
    <w:rsid w:val="00961514"/>
    <w:rsid w:val="00962624"/>
    <w:rsid w:val="009636F2"/>
    <w:rsid w:val="00963F1B"/>
    <w:rsid w:val="00966FC1"/>
    <w:rsid w:val="00970920"/>
    <w:rsid w:val="00976C6A"/>
    <w:rsid w:val="00980056"/>
    <w:rsid w:val="00980320"/>
    <w:rsid w:val="00980A48"/>
    <w:rsid w:val="00985D8E"/>
    <w:rsid w:val="00987C54"/>
    <w:rsid w:val="00987C89"/>
    <w:rsid w:val="0099051A"/>
    <w:rsid w:val="00990612"/>
    <w:rsid w:val="009916BB"/>
    <w:rsid w:val="00993A32"/>
    <w:rsid w:val="00995871"/>
    <w:rsid w:val="009975C5"/>
    <w:rsid w:val="009A0349"/>
    <w:rsid w:val="009A0F1F"/>
    <w:rsid w:val="009A2753"/>
    <w:rsid w:val="009A4733"/>
    <w:rsid w:val="009A5A45"/>
    <w:rsid w:val="009A60CF"/>
    <w:rsid w:val="009B033F"/>
    <w:rsid w:val="009B3C3F"/>
    <w:rsid w:val="009B45C2"/>
    <w:rsid w:val="009B54EA"/>
    <w:rsid w:val="009B776E"/>
    <w:rsid w:val="009C21ED"/>
    <w:rsid w:val="009C24FE"/>
    <w:rsid w:val="009C552E"/>
    <w:rsid w:val="009C6ECD"/>
    <w:rsid w:val="009C711B"/>
    <w:rsid w:val="009C78DA"/>
    <w:rsid w:val="009D01D3"/>
    <w:rsid w:val="009D0262"/>
    <w:rsid w:val="009D0BBE"/>
    <w:rsid w:val="009D1E93"/>
    <w:rsid w:val="009D2487"/>
    <w:rsid w:val="009D2740"/>
    <w:rsid w:val="009D7D11"/>
    <w:rsid w:val="009E1070"/>
    <w:rsid w:val="009E1210"/>
    <w:rsid w:val="009E19F8"/>
    <w:rsid w:val="009E24E4"/>
    <w:rsid w:val="009E292E"/>
    <w:rsid w:val="009E4FFC"/>
    <w:rsid w:val="009E57D9"/>
    <w:rsid w:val="009E6342"/>
    <w:rsid w:val="009E7F96"/>
    <w:rsid w:val="00A0033A"/>
    <w:rsid w:val="00A0075C"/>
    <w:rsid w:val="00A009D3"/>
    <w:rsid w:val="00A00AD1"/>
    <w:rsid w:val="00A01CC1"/>
    <w:rsid w:val="00A045A1"/>
    <w:rsid w:val="00A046BC"/>
    <w:rsid w:val="00A050EE"/>
    <w:rsid w:val="00A0545A"/>
    <w:rsid w:val="00A05D3B"/>
    <w:rsid w:val="00A065E9"/>
    <w:rsid w:val="00A06792"/>
    <w:rsid w:val="00A07ACA"/>
    <w:rsid w:val="00A122B6"/>
    <w:rsid w:val="00A13486"/>
    <w:rsid w:val="00A1492C"/>
    <w:rsid w:val="00A149B7"/>
    <w:rsid w:val="00A158C6"/>
    <w:rsid w:val="00A16B66"/>
    <w:rsid w:val="00A170B3"/>
    <w:rsid w:val="00A20D15"/>
    <w:rsid w:val="00A2386F"/>
    <w:rsid w:val="00A25E8B"/>
    <w:rsid w:val="00A26F49"/>
    <w:rsid w:val="00A31936"/>
    <w:rsid w:val="00A32127"/>
    <w:rsid w:val="00A335AE"/>
    <w:rsid w:val="00A339FC"/>
    <w:rsid w:val="00A34766"/>
    <w:rsid w:val="00A350B2"/>
    <w:rsid w:val="00A35BB6"/>
    <w:rsid w:val="00A36FE5"/>
    <w:rsid w:val="00A37B93"/>
    <w:rsid w:val="00A37E87"/>
    <w:rsid w:val="00A408B6"/>
    <w:rsid w:val="00A41A1D"/>
    <w:rsid w:val="00A41F18"/>
    <w:rsid w:val="00A429D1"/>
    <w:rsid w:val="00A4682E"/>
    <w:rsid w:val="00A47BD1"/>
    <w:rsid w:val="00A502DA"/>
    <w:rsid w:val="00A504B5"/>
    <w:rsid w:val="00A507A5"/>
    <w:rsid w:val="00A509D0"/>
    <w:rsid w:val="00A51185"/>
    <w:rsid w:val="00A511C1"/>
    <w:rsid w:val="00A5358F"/>
    <w:rsid w:val="00A5506C"/>
    <w:rsid w:val="00A57357"/>
    <w:rsid w:val="00A57D47"/>
    <w:rsid w:val="00A61847"/>
    <w:rsid w:val="00A61F4A"/>
    <w:rsid w:val="00A7003A"/>
    <w:rsid w:val="00A71107"/>
    <w:rsid w:val="00A7185F"/>
    <w:rsid w:val="00A74CFE"/>
    <w:rsid w:val="00A75D4E"/>
    <w:rsid w:val="00A778AD"/>
    <w:rsid w:val="00A80144"/>
    <w:rsid w:val="00A80FF2"/>
    <w:rsid w:val="00A82090"/>
    <w:rsid w:val="00A8248C"/>
    <w:rsid w:val="00A841F2"/>
    <w:rsid w:val="00A850FF"/>
    <w:rsid w:val="00A85FAB"/>
    <w:rsid w:val="00A87AB2"/>
    <w:rsid w:val="00A90920"/>
    <w:rsid w:val="00A9186A"/>
    <w:rsid w:val="00A95909"/>
    <w:rsid w:val="00A97452"/>
    <w:rsid w:val="00A9774A"/>
    <w:rsid w:val="00AA2034"/>
    <w:rsid w:val="00AA6F3B"/>
    <w:rsid w:val="00AA7E55"/>
    <w:rsid w:val="00AB0911"/>
    <w:rsid w:val="00AB0A9C"/>
    <w:rsid w:val="00AB27F6"/>
    <w:rsid w:val="00AB396D"/>
    <w:rsid w:val="00AB540C"/>
    <w:rsid w:val="00AB627C"/>
    <w:rsid w:val="00AB663E"/>
    <w:rsid w:val="00AB6A86"/>
    <w:rsid w:val="00AC2029"/>
    <w:rsid w:val="00AC2880"/>
    <w:rsid w:val="00AC33AF"/>
    <w:rsid w:val="00AC729A"/>
    <w:rsid w:val="00AC7B63"/>
    <w:rsid w:val="00AD1009"/>
    <w:rsid w:val="00AD194B"/>
    <w:rsid w:val="00AD19DC"/>
    <w:rsid w:val="00AD2E4B"/>
    <w:rsid w:val="00AD3439"/>
    <w:rsid w:val="00AD3B45"/>
    <w:rsid w:val="00AD3C73"/>
    <w:rsid w:val="00AD6F3D"/>
    <w:rsid w:val="00AD7640"/>
    <w:rsid w:val="00AD7EA0"/>
    <w:rsid w:val="00AE2D66"/>
    <w:rsid w:val="00AE3EB3"/>
    <w:rsid w:val="00AE410E"/>
    <w:rsid w:val="00AE579A"/>
    <w:rsid w:val="00AE6D23"/>
    <w:rsid w:val="00AE752B"/>
    <w:rsid w:val="00AF0240"/>
    <w:rsid w:val="00AF31BF"/>
    <w:rsid w:val="00AF4458"/>
    <w:rsid w:val="00AF543F"/>
    <w:rsid w:val="00AF6164"/>
    <w:rsid w:val="00AF6218"/>
    <w:rsid w:val="00AF7E18"/>
    <w:rsid w:val="00B0027C"/>
    <w:rsid w:val="00B00B87"/>
    <w:rsid w:val="00B0132E"/>
    <w:rsid w:val="00B017C6"/>
    <w:rsid w:val="00B03F1C"/>
    <w:rsid w:val="00B0639C"/>
    <w:rsid w:val="00B0794A"/>
    <w:rsid w:val="00B13987"/>
    <w:rsid w:val="00B1748B"/>
    <w:rsid w:val="00B17895"/>
    <w:rsid w:val="00B210B0"/>
    <w:rsid w:val="00B21A91"/>
    <w:rsid w:val="00B22764"/>
    <w:rsid w:val="00B23775"/>
    <w:rsid w:val="00B27217"/>
    <w:rsid w:val="00B27C88"/>
    <w:rsid w:val="00B27F1E"/>
    <w:rsid w:val="00B309AA"/>
    <w:rsid w:val="00B30CB2"/>
    <w:rsid w:val="00B316DB"/>
    <w:rsid w:val="00B33B0E"/>
    <w:rsid w:val="00B3433F"/>
    <w:rsid w:val="00B3688C"/>
    <w:rsid w:val="00B36907"/>
    <w:rsid w:val="00B36E1C"/>
    <w:rsid w:val="00B42ADC"/>
    <w:rsid w:val="00B4395F"/>
    <w:rsid w:val="00B43A52"/>
    <w:rsid w:val="00B442F7"/>
    <w:rsid w:val="00B45E59"/>
    <w:rsid w:val="00B46207"/>
    <w:rsid w:val="00B46A28"/>
    <w:rsid w:val="00B52594"/>
    <w:rsid w:val="00B52C6A"/>
    <w:rsid w:val="00B5305A"/>
    <w:rsid w:val="00B530D6"/>
    <w:rsid w:val="00B53779"/>
    <w:rsid w:val="00B5497F"/>
    <w:rsid w:val="00B557AC"/>
    <w:rsid w:val="00B56A06"/>
    <w:rsid w:val="00B56C7A"/>
    <w:rsid w:val="00B60006"/>
    <w:rsid w:val="00B60255"/>
    <w:rsid w:val="00B61B28"/>
    <w:rsid w:val="00B62FF4"/>
    <w:rsid w:val="00B659A1"/>
    <w:rsid w:val="00B6609B"/>
    <w:rsid w:val="00B665E0"/>
    <w:rsid w:val="00B66792"/>
    <w:rsid w:val="00B66BE5"/>
    <w:rsid w:val="00B66FEB"/>
    <w:rsid w:val="00B7054F"/>
    <w:rsid w:val="00B70724"/>
    <w:rsid w:val="00B71D1D"/>
    <w:rsid w:val="00B72305"/>
    <w:rsid w:val="00B74F6B"/>
    <w:rsid w:val="00B75F97"/>
    <w:rsid w:val="00B80A17"/>
    <w:rsid w:val="00B81276"/>
    <w:rsid w:val="00B83EA6"/>
    <w:rsid w:val="00B84F98"/>
    <w:rsid w:val="00B84FF0"/>
    <w:rsid w:val="00B86EA6"/>
    <w:rsid w:val="00B87718"/>
    <w:rsid w:val="00B87EA0"/>
    <w:rsid w:val="00B9030E"/>
    <w:rsid w:val="00B93153"/>
    <w:rsid w:val="00B93737"/>
    <w:rsid w:val="00B93BA5"/>
    <w:rsid w:val="00B93BB8"/>
    <w:rsid w:val="00B95514"/>
    <w:rsid w:val="00B96F6D"/>
    <w:rsid w:val="00B9723A"/>
    <w:rsid w:val="00BA2C1B"/>
    <w:rsid w:val="00BA4396"/>
    <w:rsid w:val="00BA5919"/>
    <w:rsid w:val="00BA5D97"/>
    <w:rsid w:val="00BA5DC9"/>
    <w:rsid w:val="00BA60A8"/>
    <w:rsid w:val="00BA7245"/>
    <w:rsid w:val="00BA7AEC"/>
    <w:rsid w:val="00BB06D5"/>
    <w:rsid w:val="00BB189C"/>
    <w:rsid w:val="00BB4653"/>
    <w:rsid w:val="00BB6F57"/>
    <w:rsid w:val="00BC020E"/>
    <w:rsid w:val="00BC1AC6"/>
    <w:rsid w:val="00BC3356"/>
    <w:rsid w:val="00BC3579"/>
    <w:rsid w:val="00BC431F"/>
    <w:rsid w:val="00BC4656"/>
    <w:rsid w:val="00BC48C8"/>
    <w:rsid w:val="00BC4A92"/>
    <w:rsid w:val="00BC54E5"/>
    <w:rsid w:val="00BC6CC6"/>
    <w:rsid w:val="00BD046F"/>
    <w:rsid w:val="00BD04DE"/>
    <w:rsid w:val="00BD0A77"/>
    <w:rsid w:val="00BD13A2"/>
    <w:rsid w:val="00BD37C2"/>
    <w:rsid w:val="00BD3802"/>
    <w:rsid w:val="00BD4BA6"/>
    <w:rsid w:val="00BD5795"/>
    <w:rsid w:val="00BE33E7"/>
    <w:rsid w:val="00BE6CD7"/>
    <w:rsid w:val="00BF0071"/>
    <w:rsid w:val="00BF1978"/>
    <w:rsid w:val="00BF2791"/>
    <w:rsid w:val="00BF2E96"/>
    <w:rsid w:val="00BF504C"/>
    <w:rsid w:val="00BF6BC1"/>
    <w:rsid w:val="00BF73A9"/>
    <w:rsid w:val="00BF762B"/>
    <w:rsid w:val="00BF782D"/>
    <w:rsid w:val="00BF7D09"/>
    <w:rsid w:val="00C00644"/>
    <w:rsid w:val="00C0173B"/>
    <w:rsid w:val="00C019BE"/>
    <w:rsid w:val="00C01D0A"/>
    <w:rsid w:val="00C03DE8"/>
    <w:rsid w:val="00C04F0E"/>
    <w:rsid w:val="00C07A7B"/>
    <w:rsid w:val="00C07EE4"/>
    <w:rsid w:val="00C100A4"/>
    <w:rsid w:val="00C11E8A"/>
    <w:rsid w:val="00C126D9"/>
    <w:rsid w:val="00C13969"/>
    <w:rsid w:val="00C16E4E"/>
    <w:rsid w:val="00C17A2D"/>
    <w:rsid w:val="00C23353"/>
    <w:rsid w:val="00C235A4"/>
    <w:rsid w:val="00C23B14"/>
    <w:rsid w:val="00C2679D"/>
    <w:rsid w:val="00C30ADD"/>
    <w:rsid w:val="00C31CA4"/>
    <w:rsid w:val="00C333C5"/>
    <w:rsid w:val="00C368B1"/>
    <w:rsid w:val="00C3710E"/>
    <w:rsid w:val="00C406F9"/>
    <w:rsid w:val="00C41490"/>
    <w:rsid w:val="00C44042"/>
    <w:rsid w:val="00C445B3"/>
    <w:rsid w:val="00C44B34"/>
    <w:rsid w:val="00C460C8"/>
    <w:rsid w:val="00C463E3"/>
    <w:rsid w:val="00C47AC0"/>
    <w:rsid w:val="00C507F3"/>
    <w:rsid w:val="00C50BE7"/>
    <w:rsid w:val="00C560AC"/>
    <w:rsid w:val="00C56BB6"/>
    <w:rsid w:val="00C572A5"/>
    <w:rsid w:val="00C61B6E"/>
    <w:rsid w:val="00C62EA8"/>
    <w:rsid w:val="00C64BB1"/>
    <w:rsid w:val="00C64CEF"/>
    <w:rsid w:val="00C66833"/>
    <w:rsid w:val="00C66C18"/>
    <w:rsid w:val="00C66C37"/>
    <w:rsid w:val="00C674E0"/>
    <w:rsid w:val="00C675AE"/>
    <w:rsid w:val="00C707FD"/>
    <w:rsid w:val="00C70EE3"/>
    <w:rsid w:val="00C7185A"/>
    <w:rsid w:val="00C71F63"/>
    <w:rsid w:val="00C72C13"/>
    <w:rsid w:val="00C72DB5"/>
    <w:rsid w:val="00C76395"/>
    <w:rsid w:val="00C7683C"/>
    <w:rsid w:val="00C76CC0"/>
    <w:rsid w:val="00C834C4"/>
    <w:rsid w:val="00C83E74"/>
    <w:rsid w:val="00C858A7"/>
    <w:rsid w:val="00C909B3"/>
    <w:rsid w:val="00C944BB"/>
    <w:rsid w:val="00C96CF4"/>
    <w:rsid w:val="00C97B9F"/>
    <w:rsid w:val="00CA1BB2"/>
    <w:rsid w:val="00CA1E3B"/>
    <w:rsid w:val="00CA3A78"/>
    <w:rsid w:val="00CB06B3"/>
    <w:rsid w:val="00CB0A79"/>
    <w:rsid w:val="00CB1CB5"/>
    <w:rsid w:val="00CB2132"/>
    <w:rsid w:val="00CB70EB"/>
    <w:rsid w:val="00CB7564"/>
    <w:rsid w:val="00CB7FA9"/>
    <w:rsid w:val="00CC0D44"/>
    <w:rsid w:val="00CC1377"/>
    <w:rsid w:val="00CC3E94"/>
    <w:rsid w:val="00CC4885"/>
    <w:rsid w:val="00CC4C58"/>
    <w:rsid w:val="00CC5589"/>
    <w:rsid w:val="00CC5617"/>
    <w:rsid w:val="00CC6337"/>
    <w:rsid w:val="00CC68ED"/>
    <w:rsid w:val="00CC78E7"/>
    <w:rsid w:val="00CD31D4"/>
    <w:rsid w:val="00CD427E"/>
    <w:rsid w:val="00CD74CE"/>
    <w:rsid w:val="00CE0EDA"/>
    <w:rsid w:val="00CE1742"/>
    <w:rsid w:val="00CE19FE"/>
    <w:rsid w:val="00CE2F15"/>
    <w:rsid w:val="00CE49E0"/>
    <w:rsid w:val="00CE4F77"/>
    <w:rsid w:val="00CE60C2"/>
    <w:rsid w:val="00CE61C8"/>
    <w:rsid w:val="00CF0BB7"/>
    <w:rsid w:val="00CF1845"/>
    <w:rsid w:val="00CF21BD"/>
    <w:rsid w:val="00CF41B6"/>
    <w:rsid w:val="00CF695D"/>
    <w:rsid w:val="00CF74C3"/>
    <w:rsid w:val="00D019CA"/>
    <w:rsid w:val="00D02F3B"/>
    <w:rsid w:val="00D03ADD"/>
    <w:rsid w:val="00D06015"/>
    <w:rsid w:val="00D064EE"/>
    <w:rsid w:val="00D1061D"/>
    <w:rsid w:val="00D135BD"/>
    <w:rsid w:val="00D14ACB"/>
    <w:rsid w:val="00D162DE"/>
    <w:rsid w:val="00D164F0"/>
    <w:rsid w:val="00D16899"/>
    <w:rsid w:val="00D20B87"/>
    <w:rsid w:val="00D22F74"/>
    <w:rsid w:val="00D23839"/>
    <w:rsid w:val="00D24EFA"/>
    <w:rsid w:val="00D25347"/>
    <w:rsid w:val="00D30444"/>
    <w:rsid w:val="00D304F6"/>
    <w:rsid w:val="00D322BF"/>
    <w:rsid w:val="00D32584"/>
    <w:rsid w:val="00D32FF0"/>
    <w:rsid w:val="00D34994"/>
    <w:rsid w:val="00D3556F"/>
    <w:rsid w:val="00D3693C"/>
    <w:rsid w:val="00D37311"/>
    <w:rsid w:val="00D41093"/>
    <w:rsid w:val="00D4250B"/>
    <w:rsid w:val="00D42577"/>
    <w:rsid w:val="00D42B75"/>
    <w:rsid w:val="00D51814"/>
    <w:rsid w:val="00D528C6"/>
    <w:rsid w:val="00D52A25"/>
    <w:rsid w:val="00D53500"/>
    <w:rsid w:val="00D53A35"/>
    <w:rsid w:val="00D5419A"/>
    <w:rsid w:val="00D54AC5"/>
    <w:rsid w:val="00D55C1D"/>
    <w:rsid w:val="00D624AB"/>
    <w:rsid w:val="00D65D86"/>
    <w:rsid w:val="00D66432"/>
    <w:rsid w:val="00D67185"/>
    <w:rsid w:val="00D67D94"/>
    <w:rsid w:val="00D71D86"/>
    <w:rsid w:val="00D74770"/>
    <w:rsid w:val="00D7560C"/>
    <w:rsid w:val="00D75ED9"/>
    <w:rsid w:val="00D802DF"/>
    <w:rsid w:val="00D831C5"/>
    <w:rsid w:val="00D8357E"/>
    <w:rsid w:val="00D842BC"/>
    <w:rsid w:val="00D861D4"/>
    <w:rsid w:val="00D87A11"/>
    <w:rsid w:val="00D87CD8"/>
    <w:rsid w:val="00D87F5E"/>
    <w:rsid w:val="00D96143"/>
    <w:rsid w:val="00D9625D"/>
    <w:rsid w:val="00D969FA"/>
    <w:rsid w:val="00DA02A3"/>
    <w:rsid w:val="00DA10CA"/>
    <w:rsid w:val="00DA2ADE"/>
    <w:rsid w:val="00DA5D90"/>
    <w:rsid w:val="00DB01AE"/>
    <w:rsid w:val="00DB18D4"/>
    <w:rsid w:val="00DB24E5"/>
    <w:rsid w:val="00DB25B5"/>
    <w:rsid w:val="00DB5443"/>
    <w:rsid w:val="00DB7192"/>
    <w:rsid w:val="00DC0718"/>
    <w:rsid w:val="00DC10E4"/>
    <w:rsid w:val="00DC10FA"/>
    <w:rsid w:val="00DC18E6"/>
    <w:rsid w:val="00DC620E"/>
    <w:rsid w:val="00DC6899"/>
    <w:rsid w:val="00DD02EB"/>
    <w:rsid w:val="00DD28D6"/>
    <w:rsid w:val="00DD2AAB"/>
    <w:rsid w:val="00DD2C54"/>
    <w:rsid w:val="00DD324F"/>
    <w:rsid w:val="00DD3F32"/>
    <w:rsid w:val="00DD5265"/>
    <w:rsid w:val="00DD769D"/>
    <w:rsid w:val="00DD7A57"/>
    <w:rsid w:val="00DE10E7"/>
    <w:rsid w:val="00DE1D4A"/>
    <w:rsid w:val="00DE2906"/>
    <w:rsid w:val="00DF1E7E"/>
    <w:rsid w:val="00DF2EA4"/>
    <w:rsid w:val="00DF3AF4"/>
    <w:rsid w:val="00DF5190"/>
    <w:rsid w:val="00DF55A8"/>
    <w:rsid w:val="00DF783A"/>
    <w:rsid w:val="00E00A05"/>
    <w:rsid w:val="00E01C8D"/>
    <w:rsid w:val="00E02CE0"/>
    <w:rsid w:val="00E02FEE"/>
    <w:rsid w:val="00E0300D"/>
    <w:rsid w:val="00E03C0F"/>
    <w:rsid w:val="00E03F64"/>
    <w:rsid w:val="00E105CA"/>
    <w:rsid w:val="00E11069"/>
    <w:rsid w:val="00E11110"/>
    <w:rsid w:val="00E13110"/>
    <w:rsid w:val="00E14357"/>
    <w:rsid w:val="00E1599F"/>
    <w:rsid w:val="00E20191"/>
    <w:rsid w:val="00E21952"/>
    <w:rsid w:val="00E21BEC"/>
    <w:rsid w:val="00E21C76"/>
    <w:rsid w:val="00E22C32"/>
    <w:rsid w:val="00E23228"/>
    <w:rsid w:val="00E24A60"/>
    <w:rsid w:val="00E272C1"/>
    <w:rsid w:val="00E272D0"/>
    <w:rsid w:val="00E277F5"/>
    <w:rsid w:val="00E30790"/>
    <w:rsid w:val="00E336CF"/>
    <w:rsid w:val="00E34248"/>
    <w:rsid w:val="00E345BE"/>
    <w:rsid w:val="00E37470"/>
    <w:rsid w:val="00E433CC"/>
    <w:rsid w:val="00E44DA5"/>
    <w:rsid w:val="00E4602B"/>
    <w:rsid w:val="00E4683B"/>
    <w:rsid w:val="00E47A78"/>
    <w:rsid w:val="00E51380"/>
    <w:rsid w:val="00E518A6"/>
    <w:rsid w:val="00E52983"/>
    <w:rsid w:val="00E52A95"/>
    <w:rsid w:val="00E52CF3"/>
    <w:rsid w:val="00E53A18"/>
    <w:rsid w:val="00E54548"/>
    <w:rsid w:val="00E5498E"/>
    <w:rsid w:val="00E55238"/>
    <w:rsid w:val="00E55718"/>
    <w:rsid w:val="00E57A4D"/>
    <w:rsid w:val="00E57D7C"/>
    <w:rsid w:val="00E60233"/>
    <w:rsid w:val="00E60A66"/>
    <w:rsid w:val="00E63520"/>
    <w:rsid w:val="00E64978"/>
    <w:rsid w:val="00E66139"/>
    <w:rsid w:val="00E71366"/>
    <w:rsid w:val="00E72DA5"/>
    <w:rsid w:val="00E73501"/>
    <w:rsid w:val="00E7667B"/>
    <w:rsid w:val="00E778F1"/>
    <w:rsid w:val="00E80647"/>
    <w:rsid w:val="00E806C7"/>
    <w:rsid w:val="00E82EA6"/>
    <w:rsid w:val="00E841BB"/>
    <w:rsid w:val="00E846C0"/>
    <w:rsid w:val="00E84AD0"/>
    <w:rsid w:val="00E84B0E"/>
    <w:rsid w:val="00E853AE"/>
    <w:rsid w:val="00E8663A"/>
    <w:rsid w:val="00E878A2"/>
    <w:rsid w:val="00E9137B"/>
    <w:rsid w:val="00E91987"/>
    <w:rsid w:val="00E91B94"/>
    <w:rsid w:val="00E91D92"/>
    <w:rsid w:val="00E9357C"/>
    <w:rsid w:val="00E94FCA"/>
    <w:rsid w:val="00EA0A59"/>
    <w:rsid w:val="00EA2C6E"/>
    <w:rsid w:val="00EA4F42"/>
    <w:rsid w:val="00EA6718"/>
    <w:rsid w:val="00EB1980"/>
    <w:rsid w:val="00EB24B0"/>
    <w:rsid w:val="00EB3EB3"/>
    <w:rsid w:val="00EB4C95"/>
    <w:rsid w:val="00EB6BEE"/>
    <w:rsid w:val="00EC03B8"/>
    <w:rsid w:val="00EC080E"/>
    <w:rsid w:val="00EC104E"/>
    <w:rsid w:val="00EC2CAC"/>
    <w:rsid w:val="00EC333F"/>
    <w:rsid w:val="00EC5839"/>
    <w:rsid w:val="00EC5FDC"/>
    <w:rsid w:val="00EC6031"/>
    <w:rsid w:val="00ED127A"/>
    <w:rsid w:val="00ED2DA2"/>
    <w:rsid w:val="00ED7910"/>
    <w:rsid w:val="00EE13A8"/>
    <w:rsid w:val="00EE2FDF"/>
    <w:rsid w:val="00EE320C"/>
    <w:rsid w:val="00EE46F7"/>
    <w:rsid w:val="00EF21A2"/>
    <w:rsid w:val="00EF2B15"/>
    <w:rsid w:val="00EF2B93"/>
    <w:rsid w:val="00EF4418"/>
    <w:rsid w:val="00EF5099"/>
    <w:rsid w:val="00F0268A"/>
    <w:rsid w:val="00F0290D"/>
    <w:rsid w:val="00F032C6"/>
    <w:rsid w:val="00F04562"/>
    <w:rsid w:val="00F045B4"/>
    <w:rsid w:val="00F067A5"/>
    <w:rsid w:val="00F06F77"/>
    <w:rsid w:val="00F06F81"/>
    <w:rsid w:val="00F11AF5"/>
    <w:rsid w:val="00F122CC"/>
    <w:rsid w:val="00F1492C"/>
    <w:rsid w:val="00F153E9"/>
    <w:rsid w:val="00F161A3"/>
    <w:rsid w:val="00F17860"/>
    <w:rsid w:val="00F21A4B"/>
    <w:rsid w:val="00F21DB1"/>
    <w:rsid w:val="00F244C3"/>
    <w:rsid w:val="00F24EB8"/>
    <w:rsid w:val="00F25BF3"/>
    <w:rsid w:val="00F2643D"/>
    <w:rsid w:val="00F303E6"/>
    <w:rsid w:val="00F30E61"/>
    <w:rsid w:val="00F31EF3"/>
    <w:rsid w:val="00F32331"/>
    <w:rsid w:val="00F3315B"/>
    <w:rsid w:val="00F33331"/>
    <w:rsid w:val="00F33B82"/>
    <w:rsid w:val="00F357C3"/>
    <w:rsid w:val="00F35AD5"/>
    <w:rsid w:val="00F37685"/>
    <w:rsid w:val="00F41EA1"/>
    <w:rsid w:val="00F42BDC"/>
    <w:rsid w:val="00F42F7F"/>
    <w:rsid w:val="00F4329C"/>
    <w:rsid w:val="00F447ED"/>
    <w:rsid w:val="00F4649B"/>
    <w:rsid w:val="00F46AAC"/>
    <w:rsid w:val="00F51677"/>
    <w:rsid w:val="00F51F84"/>
    <w:rsid w:val="00F52D35"/>
    <w:rsid w:val="00F52E3A"/>
    <w:rsid w:val="00F542E5"/>
    <w:rsid w:val="00F5690A"/>
    <w:rsid w:val="00F5758A"/>
    <w:rsid w:val="00F60EE7"/>
    <w:rsid w:val="00F61EF0"/>
    <w:rsid w:val="00F61F18"/>
    <w:rsid w:val="00F624F8"/>
    <w:rsid w:val="00F6264F"/>
    <w:rsid w:val="00F6296B"/>
    <w:rsid w:val="00F6469A"/>
    <w:rsid w:val="00F667E4"/>
    <w:rsid w:val="00F66A8F"/>
    <w:rsid w:val="00F678ED"/>
    <w:rsid w:val="00F7039D"/>
    <w:rsid w:val="00F708D7"/>
    <w:rsid w:val="00F71594"/>
    <w:rsid w:val="00F71BFA"/>
    <w:rsid w:val="00F73D11"/>
    <w:rsid w:val="00F770B1"/>
    <w:rsid w:val="00F77D1A"/>
    <w:rsid w:val="00F80874"/>
    <w:rsid w:val="00F80C1D"/>
    <w:rsid w:val="00F83E62"/>
    <w:rsid w:val="00F86444"/>
    <w:rsid w:val="00F868AC"/>
    <w:rsid w:val="00F869DB"/>
    <w:rsid w:val="00F86C33"/>
    <w:rsid w:val="00F87F75"/>
    <w:rsid w:val="00F917C2"/>
    <w:rsid w:val="00F917E1"/>
    <w:rsid w:val="00F9313E"/>
    <w:rsid w:val="00F96631"/>
    <w:rsid w:val="00FA25FD"/>
    <w:rsid w:val="00FA391F"/>
    <w:rsid w:val="00FA3C51"/>
    <w:rsid w:val="00FA3E7C"/>
    <w:rsid w:val="00FA552D"/>
    <w:rsid w:val="00FA5FB5"/>
    <w:rsid w:val="00FA71B8"/>
    <w:rsid w:val="00FB0580"/>
    <w:rsid w:val="00FB0753"/>
    <w:rsid w:val="00FB0DAD"/>
    <w:rsid w:val="00FB38F9"/>
    <w:rsid w:val="00FB3D64"/>
    <w:rsid w:val="00FB4C07"/>
    <w:rsid w:val="00FB533E"/>
    <w:rsid w:val="00FB675A"/>
    <w:rsid w:val="00FB7676"/>
    <w:rsid w:val="00FB7A22"/>
    <w:rsid w:val="00FC2260"/>
    <w:rsid w:val="00FC3E5E"/>
    <w:rsid w:val="00FC4AB5"/>
    <w:rsid w:val="00FC6B48"/>
    <w:rsid w:val="00FC6ED5"/>
    <w:rsid w:val="00FC6FC8"/>
    <w:rsid w:val="00FD0F29"/>
    <w:rsid w:val="00FD2861"/>
    <w:rsid w:val="00FD406B"/>
    <w:rsid w:val="00FD63C9"/>
    <w:rsid w:val="00FD72B6"/>
    <w:rsid w:val="00FD7CF5"/>
    <w:rsid w:val="00FE09FF"/>
    <w:rsid w:val="00FE24CB"/>
    <w:rsid w:val="00FE43CC"/>
    <w:rsid w:val="00FE5E3F"/>
    <w:rsid w:val="00FE74C5"/>
    <w:rsid w:val="00FE7891"/>
    <w:rsid w:val="00FE7E8A"/>
    <w:rsid w:val="00FF0576"/>
    <w:rsid w:val="00FF1E9A"/>
    <w:rsid w:val="00FF345D"/>
    <w:rsid w:val="00FF4D20"/>
    <w:rsid w:val="00FF6528"/>
    <w:rsid w:val="00FF7D17"/>
    <w:rsid w:val="00FF7F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6B3"/>
    <w:pPr>
      <w:widowControl w:val="0"/>
      <w:jc w:val="both"/>
    </w:pPr>
    <w:rPr>
      <w:rFonts w:ascii="Times New Roman" w:eastAsia="仿宋_GB2312" w:hAnsi="Times New Roman" w:cs="Times New Roman"/>
      <w:kern w:val="0"/>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B06B3"/>
    <w:rPr>
      <w:sz w:val="18"/>
      <w:szCs w:val="18"/>
    </w:rPr>
  </w:style>
  <w:style w:type="character" w:customStyle="1" w:styleId="Char">
    <w:name w:val="批注框文本 Char"/>
    <w:basedOn w:val="a0"/>
    <w:link w:val="a3"/>
    <w:uiPriority w:val="99"/>
    <w:semiHidden/>
    <w:rsid w:val="00CB06B3"/>
    <w:rPr>
      <w:rFonts w:ascii="Times New Roman" w:eastAsia="仿宋_GB2312"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chart" Target="charts/chart2.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Office_Excel_2007_Workbook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E:\coco\&#38472;&#24198;&#20142;\&#30333;&#30382;&#20070;&#21452;&#39292;&#22270;&#23450;&#3129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title>
      <c:tx>
        <c:rich>
          <a:bodyPr/>
          <a:lstStyle/>
          <a:p>
            <a:pPr>
              <a:defRPr/>
            </a:pPr>
            <a:r>
              <a:rPr lang="en-US" altLang="zh-CN" sz="1200">
                <a:latin typeface="仿宋_GB2312" pitchFamily="49" charset="-122"/>
                <a:ea typeface="仿宋_GB2312" pitchFamily="49" charset="-122"/>
              </a:rPr>
              <a:t>2013</a:t>
            </a:r>
            <a:r>
              <a:rPr lang="zh-CN" altLang="en-US" sz="1200">
                <a:latin typeface="仿宋_GB2312" pitchFamily="49" charset="-122"/>
                <a:ea typeface="仿宋_GB2312" pitchFamily="49" charset="-122"/>
              </a:rPr>
              <a:t>年</a:t>
            </a:r>
            <a:r>
              <a:rPr lang="en-US" altLang="zh-CN" sz="1200">
                <a:latin typeface="仿宋_GB2312" pitchFamily="49" charset="-122"/>
                <a:ea typeface="仿宋_GB2312" pitchFamily="49" charset="-122"/>
              </a:rPr>
              <a:t>-2017</a:t>
            </a:r>
            <a:r>
              <a:rPr lang="zh-CN" altLang="en-US" sz="1200">
                <a:latin typeface="仿宋_GB2312" pitchFamily="49" charset="-122"/>
                <a:ea typeface="仿宋_GB2312" pitchFamily="49" charset="-122"/>
              </a:rPr>
              <a:t>年山东法院知识产权民事一审案件收案、结案</a:t>
            </a:r>
            <a:endParaRPr lang="en-US" altLang="zh-CN" sz="1200">
              <a:latin typeface="仿宋_GB2312" pitchFamily="49" charset="-122"/>
              <a:ea typeface="仿宋_GB2312" pitchFamily="49" charset="-122"/>
            </a:endParaRPr>
          </a:p>
          <a:p>
            <a:pPr>
              <a:defRPr/>
            </a:pPr>
            <a:r>
              <a:rPr lang="zh-CN" altLang="en-US" sz="1200">
                <a:latin typeface="仿宋_GB2312" pitchFamily="49" charset="-122"/>
                <a:ea typeface="仿宋_GB2312" pitchFamily="49" charset="-122"/>
              </a:rPr>
              <a:t>数量示意图</a:t>
            </a:r>
          </a:p>
        </c:rich>
      </c:tx>
      <c:spPr>
        <a:noFill/>
        <a:ln w="25400">
          <a:noFill/>
        </a:ln>
      </c:spPr>
    </c:title>
    <c:plotArea>
      <c:layout>
        <c:manualLayout>
          <c:layoutTarget val="inner"/>
          <c:xMode val="edge"/>
          <c:yMode val="edge"/>
          <c:x val="0.12847222222222221"/>
          <c:y val="0.23046875000000006"/>
          <c:w val="0.82638888888888884"/>
          <c:h val="0.50781249999999978"/>
        </c:manualLayout>
      </c:layout>
      <c:barChart>
        <c:barDir val="col"/>
        <c:grouping val="clustered"/>
        <c:ser>
          <c:idx val="0"/>
          <c:order val="0"/>
          <c:tx>
            <c:strRef>
              <c:f>Sheet1!$A$2</c:f>
              <c:strCache>
                <c:ptCount val="1"/>
                <c:pt idx="0">
                  <c:v>收案数</c:v>
                </c:pt>
              </c:strCache>
            </c:strRef>
          </c:tx>
          <c:cat>
            <c:strRef>
              <c:f>Sheet1!$B$1:$F$1</c:f>
              <c:strCache>
                <c:ptCount val="5"/>
                <c:pt idx="0">
                  <c:v>2013年</c:v>
                </c:pt>
                <c:pt idx="1">
                  <c:v>2014年</c:v>
                </c:pt>
                <c:pt idx="2">
                  <c:v>2015年</c:v>
                </c:pt>
                <c:pt idx="3">
                  <c:v>2016年</c:v>
                </c:pt>
                <c:pt idx="4">
                  <c:v>2017年</c:v>
                </c:pt>
              </c:strCache>
            </c:strRef>
          </c:cat>
          <c:val>
            <c:numRef>
              <c:f>Sheet1!$B$2:$F$2</c:f>
              <c:numCache>
                <c:formatCode>General</c:formatCode>
                <c:ptCount val="5"/>
                <c:pt idx="0">
                  <c:v>4678</c:v>
                </c:pt>
                <c:pt idx="1">
                  <c:v>5047</c:v>
                </c:pt>
                <c:pt idx="2">
                  <c:v>6852</c:v>
                </c:pt>
                <c:pt idx="3">
                  <c:v>8261</c:v>
                </c:pt>
                <c:pt idx="4">
                  <c:v>7914</c:v>
                </c:pt>
              </c:numCache>
            </c:numRef>
          </c:val>
        </c:ser>
        <c:ser>
          <c:idx val="1"/>
          <c:order val="1"/>
          <c:tx>
            <c:strRef>
              <c:f>Sheet1!$A$3</c:f>
              <c:strCache>
                <c:ptCount val="1"/>
                <c:pt idx="0">
                  <c:v>结案数</c:v>
                </c:pt>
              </c:strCache>
            </c:strRef>
          </c:tx>
          <c:cat>
            <c:strRef>
              <c:f>Sheet1!$B$1:$F$1</c:f>
              <c:strCache>
                <c:ptCount val="5"/>
                <c:pt idx="0">
                  <c:v>2013年</c:v>
                </c:pt>
                <c:pt idx="1">
                  <c:v>2014年</c:v>
                </c:pt>
                <c:pt idx="2">
                  <c:v>2015年</c:v>
                </c:pt>
                <c:pt idx="3">
                  <c:v>2016年</c:v>
                </c:pt>
                <c:pt idx="4">
                  <c:v>2017年</c:v>
                </c:pt>
              </c:strCache>
            </c:strRef>
          </c:cat>
          <c:val>
            <c:numRef>
              <c:f>Sheet1!$B$3:$F$3</c:f>
              <c:numCache>
                <c:formatCode>General</c:formatCode>
                <c:ptCount val="5"/>
                <c:pt idx="0">
                  <c:v>4449</c:v>
                </c:pt>
                <c:pt idx="1">
                  <c:v>5079</c:v>
                </c:pt>
                <c:pt idx="2">
                  <c:v>6644</c:v>
                </c:pt>
                <c:pt idx="3">
                  <c:v>7606</c:v>
                </c:pt>
                <c:pt idx="4">
                  <c:v>7828</c:v>
                </c:pt>
              </c:numCache>
            </c:numRef>
          </c:val>
        </c:ser>
        <c:axId val="103399424"/>
        <c:axId val="103400960"/>
      </c:barChart>
      <c:catAx>
        <c:axId val="103399424"/>
        <c:scaling>
          <c:orientation val="minMax"/>
        </c:scaling>
        <c:axPos val="b"/>
        <c:numFmt formatCode="General" sourceLinked="1"/>
        <c:majorTickMark val="none"/>
        <c:tickLblPos val="nextTo"/>
        <c:crossAx val="103400960"/>
        <c:crosses val="autoZero"/>
        <c:auto val="1"/>
        <c:lblAlgn val="ctr"/>
        <c:lblOffset val="100"/>
      </c:catAx>
      <c:valAx>
        <c:axId val="103400960"/>
        <c:scaling>
          <c:orientation val="minMax"/>
        </c:scaling>
        <c:axPos val="l"/>
        <c:majorGridlines/>
        <c:numFmt formatCode="General" sourceLinked="1"/>
        <c:majorTickMark val="none"/>
        <c:tickLblPos val="nextTo"/>
        <c:crossAx val="103399424"/>
        <c:crosses val="autoZero"/>
        <c:crossBetween val="between"/>
      </c:valAx>
      <c:dTable>
        <c:showHorzBorder val="1"/>
        <c:showVertBorder val="1"/>
        <c:showOutline val="1"/>
        <c:showKeys val="1"/>
      </c:dTable>
    </c:plotArea>
    <c:plotVisOnly val="1"/>
    <c:dispBlanksAs val="gap"/>
  </c:chart>
  <c:externalData r:id="rId2"/>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plotArea>
      <c:layout>
        <c:manualLayout>
          <c:layoutTarget val="inner"/>
          <c:xMode val="edge"/>
          <c:yMode val="edge"/>
          <c:x val="5.4050303358579598E-2"/>
          <c:y val="8.2381337846787667E-2"/>
          <c:w val="0.78645616428545129"/>
          <c:h val="0.81979643789983803"/>
        </c:manualLayout>
      </c:layout>
      <c:ofPieChart>
        <c:ofPieType val="pie"/>
        <c:varyColors val="1"/>
        <c:ser>
          <c:idx val="1"/>
          <c:order val="1"/>
          <c:tx>
            <c:strRef>
              <c:f>Sheet1!$C$1</c:f>
              <c:strCache>
                <c:ptCount val="1"/>
                <c:pt idx="0">
                  <c:v>2013年-2017年</c:v>
                </c:pt>
              </c:strCache>
            </c:strRef>
          </c:tx>
          <c:dPt>
            <c:idx val="4"/>
            <c:spPr>
              <a:solidFill>
                <a:schemeClr val="accent5"/>
              </a:solidFill>
            </c:spPr>
          </c:dPt>
          <c:dLbls>
            <c:dLbl>
              <c:idx val="0"/>
              <c:tx>
                <c:rich>
                  <a:bodyPr/>
                  <a:lstStyle/>
                  <a:p>
                    <a:pPr>
                      <a:defRPr/>
                    </a:pPr>
                    <a:r>
                      <a:rPr lang="zh-CN" altLang="en-US"/>
                      <a:t>著作权</a:t>
                    </a:r>
                    <a:endParaRPr lang="en-US" altLang="zh-CN"/>
                  </a:p>
                  <a:p>
                    <a:pPr>
                      <a:defRPr/>
                    </a:pPr>
                    <a:r>
                      <a:rPr lang="en-US" altLang="zh-CN"/>
                      <a:t>13672</a:t>
                    </a:r>
                    <a:r>
                      <a:rPr lang="zh-CN" altLang="en-US"/>
                      <a:t>件</a:t>
                    </a:r>
                    <a:endParaRPr lang="en-US" altLang="zh-CN"/>
                  </a:p>
                  <a:p>
                    <a:pPr>
                      <a:defRPr/>
                    </a:pPr>
                    <a:r>
                      <a:rPr lang="en-US" altLang="zh-CN"/>
                      <a:t>40.8%</a:t>
                    </a:r>
                  </a:p>
                </c:rich>
              </c:tx>
              <c:spPr/>
            </c:dLbl>
            <c:dLbl>
              <c:idx val="1"/>
              <c:tx>
                <c:rich>
                  <a:bodyPr/>
                  <a:lstStyle/>
                  <a:p>
                    <a:pPr>
                      <a:defRPr/>
                    </a:pPr>
                    <a:r>
                      <a:rPr lang="zh-CN" altLang="en-US"/>
                      <a:t>商标权</a:t>
                    </a:r>
                    <a:endParaRPr lang="en-US" altLang="zh-CN"/>
                  </a:p>
                  <a:p>
                    <a:pPr>
                      <a:defRPr/>
                    </a:pPr>
                    <a:r>
                      <a:rPr lang="en-US" altLang="zh-CN"/>
                      <a:t>13379</a:t>
                    </a:r>
                    <a:r>
                      <a:rPr lang="zh-CN" altLang="en-US"/>
                      <a:t>件</a:t>
                    </a:r>
                    <a:endParaRPr lang="en-US" altLang="zh-CN"/>
                  </a:p>
                  <a:p>
                    <a:pPr>
                      <a:defRPr/>
                    </a:pPr>
                    <a:r>
                      <a:rPr lang="en-US" altLang="zh-CN"/>
                      <a:t>41.7%</a:t>
                    </a:r>
                  </a:p>
                </c:rich>
              </c:tx>
              <c:spPr/>
            </c:dLbl>
            <c:dLbl>
              <c:idx val="2"/>
              <c:layout>
                <c:manualLayout>
                  <c:x val="1.131721515579783E-2"/>
                  <c:y val="-1.8523731045247283E-2"/>
                </c:manualLayout>
              </c:layout>
              <c:tx>
                <c:rich>
                  <a:bodyPr/>
                  <a:lstStyle/>
                  <a:p>
                    <a:pPr>
                      <a:defRPr/>
                    </a:pPr>
                    <a:r>
                      <a:rPr lang="zh-CN" altLang="en-US"/>
                      <a:t>专利</a:t>
                    </a:r>
                    <a:endParaRPr lang="en-US" altLang="zh-CN"/>
                  </a:p>
                  <a:p>
                    <a:pPr>
                      <a:defRPr/>
                    </a:pPr>
                    <a:r>
                      <a:rPr lang="en-US" altLang="zh-CN"/>
                      <a:t>3048</a:t>
                    </a:r>
                    <a:r>
                      <a:rPr lang="zh-CN" altLang="en-US"/>
                      <a:t>件</a:t>
                    </a:r>
                    <a:endParaRPr lang="en-US" altLang="zh-CN"/>
                  </a:p>
                  <a:p>
                    <a:pPr>
                      <a:defRPr/>
                    </a:pPr>
                    <a:r>
                      <a:rPr lang="en-US" altLang="zh-CN"/>
                      <a:t>9.3%</a:t>
                    </a:r>
                    <a:endParaRPr lang="zh-CN" altLang="en-US"/>
                  </a:p>
                </c:rich>
              </c:tx>
              <c:spPr/>
              <c:dLblPos val="bestFit"/>
            </c:dLbl>
            <c:dLbl>
              <c:idx val="3"/>
              <c:layout>
                <c:manualLayout>
                  <c:x val="3.7653274109967057E-2"/>
                  <c:y val="4.6847167359893964E-2"/>
                </c:manualLayout>
              </c:layout>
              <c:tx>
                <c:rich>
                  <a:bodyPr/>
                  <a:lstStyle/>
                  <a:p>
                    <a:pPr>
                      <a:defRPr/>
                    </a:pPr>
                    <a:r>
                      <a:rPr lang="zh-CN" altLang="en-US"/>
                      <a:t>技术合同</a:t>
                    </a:r>
                    <a:endParaRPr lang="en-US" altLang="zh-CN"/>
                  </a:p>
                  <a:p>
                    <a:pPr>
                      <a:defRPr/>
                    </a:pPr>
                    <a:r>
                      <a:rPr lang="en-US" altLang="zh-CN"/>
                      <a:t>597</a:t>
                    </a:r>
                    <a:r>
                      <a:rPr lang="zh-CN" altLang="en-US"/>
                      <a:t>件</a:t>
                    </a:r>
                    <a:endParaRPr lang="en-US" altLang="zh-CN"/>
                  </a:p>
                  <a:p>
                    <a:pPr>
                      <a:defRPr/>
                    </a:pPr>
                    <a:r>
                      <a:rPr lang="en-US" altLang="zh-CN"/>
                      <a:t>1.8%</a:t>
                    </a:r>
                    <a:endParaRPr lang="zh-CN" altLang="en-US"/>
                  </a:p>
                </c:rich>
              </c:tx>
              <c:spPr/>
              <c:dLblPos val="bestFit"/>
            </c:dLbl>
            <c:dLbl>
              <c:idx val="4"/>
              <c:layout>
                <c:manualLayout>
                  <c:x val="1.7962177804697512E-3"/>
                  <c:y val="0.23633383036422786"/>
                </c:manualLayout>
              </c:layout>
              <c:tx>
                <c:rich>
                  <a:bodyPr/>
                  <a:lstStyle/>
                  <a:p>
                    <a:pPr>
                      <a:defRPr/>
                    </a:pPr>
                    <a:r>
                      <a:rPr lang="zh-CN" altLang="en-US"/>
                      <a:t>不正当竞争及</a:t>
                    </a:r>
                    <a:endParaRPr lang="en-US" altLang="zh-CN"/>
                  </a:p>
                  <a:p>
                    <a:pPr>
                      <a:defRPr/>
                    </a:pPr>
                    <a:r>
                      <a:rPr lang="zh-CN" altLang="en-US"/>
                      <a:t>其他</a:t>
                    </a:r>
                    <a:endParaRPr lang="en-US" altLang="zh-CN"/>
                  </a:p>
                  <a:p>
                    <a:pPr>
                      <a:defRPr/>
                    </a:pPr>
                    <a:r>
                      <a:rPr lang="en-US" altLang="zh-CN"/>
                      <a:t>1244</a:t>
                    </a:r>
                    <a:r>
                      <a:rPr lang="zh-CN" altLang="en-US"/>
                      <a:t>件</a:t>
                    </a:r>
                    <a:endParaRPr lang="en-US" altLang="zh-CN"/>
                  </a:p>
                  <a:p>
                    <a:pPr>
                      <a:defRPr/>
                    </a:pPr>
                    <a:r>
                      <a:rPr lang="en-US" altLang="zh-CN"/>
                      <a:t>3.8%</a:t>
                    </a:r>
                  </a:p>
                </c:rich>
              </c:tx>
              <c:spPr/>
              <c:dLblPos val="bestFit"/>
            </c:dLbl>
            <c:dLbl>
              <c:idx val="5"/>
              <c:delete val="1"/>
            </c:dLbl>
            <c:showVal val="1"/>
            <c:showCatName val="1"/>
            <c:showLeaderLines val="1"/>
          </c:dLbls>
          <c:cat>
            <c:strRef>
              <c:f>Sheet1!$A$3:$A$7</c:f>
              <c:strCache>
                <c:ptCount val="5"/>
                <c:pt idx="0">
                  <c:v>著作权</c:v>
                </c:pt>
                <c:pt idx="1">
                  <c:v>商标权</c:v>
                </c:pt>
                <c:pt idx="2">
                  <c:v>专利</c:v>
                </c:pt>
                <c:pt idx="3">
                  <c:v>技术合同</c:v>
                </c:pt>
                <c:pt idx="4">
                  <c:v>不正当竞争及其他</c:v>
                </c:pt>
              </c:strCache>
            </c:strRef>
          </c:cat>
          <c:val>
            <c:numRef>
              <c:f>Sheet1!$C$3:$C$7</c:f>
              <c:numCache>
                <c:formatCode>0.0%</c:formatCode>
                <c:ptCount val="5"/>
                <c:pt idx="0">
                  <c:v>0.40800000000000008</c:v>
                </c:pt>
                <c:pt idx="1">
                  <c:v>0.41700000000000009</c:v>
                </c:pt>
                <c:pt idx="2">
                  <c:v>9.3000000000000055E-2</c:v>
                </c:pt>
                <c:pt idx="3">
                  <c:v>1.7999999999999999E-2</c:v>
                </c:pt>
                <c:pt idx="4">
                  <c:v>3.7999999999999999E-2</c:v>
                </c:pt>
              </c:numCache>
            </c:numRef>
          </c:val>
        </c:ser>
        <c:gapWidth val="180"/>
        <c:splitType val="pos"/>
        <c:splitPos val="5"/>
        <c:secondPieSize val="100"/>
      </c:ofPieChart>
      <c:ofPieChart>
        <c:ofPieType val="pie"/>
        <c:varyColors val="1"/>
        <c:ser>
          <c:idx val="0"/>
          <c:order val="0"/>
          <c:tx>
            <c:strRef>
              <c:f>Sheet1!$B$1</c:f>
              <c:strCache>
                <c:ptCount val="1"/>
                <c:pt idx="0">
                  <c:v>2017年</c:v>
                </c:pt>
              </c:strCache>
            </c:strRef>
          </c:tx>
          <c:dPt>
            <c:idx val="4"/>
            <c:explosion val="157"/>
            <c:spPr>
              <a:noFill/>
            </c:spPr>
          </c:dPt>
          <c:dPt>
            <c:idx val="5"/>
            <c:spPr>
              <a:solidFill>
                <a:srgbClr val="4BACC6"/>
              </a:solidFill>
            </c:spPr>
          </c:dPt>
          <c:dLbls>
            <c:dLbl>
              <c:idx val="0"/>
              <c:tx>
                <c:rich>
                  <a:bodyPr/>
                  <a:lstStyle/>
                  <a:p>
                    <a:pPr>
                      <a:defRPr/>
                    </a:pPr>
                    <a:r>
                      <a:rPr lang="zh-CN" altLang="en-US"/>
                      <a:t>著作权</a:t>
                    </a:r>
                    <a:endParaRPr lang="en-US" altLang="zh-CN"/>
                  </a:p>
                  <a:p>
                    <a:pPr>
                      <a:defRPr/>
                    </a:pPr>
                    <a:r>
                      <a:rPr lang="en-US" altLang="zh-CN"/>
                      <a:t>2773</a:t>
                    </a:r>
                    <a:r>
                      <a:rPr lang="zh-CN" altLang="en-US"/>
                      <a:t>件</a:t>
                    </a:r>
                    <a:endParaRPr lang="en-US" altLang="zh-CN"/>
                  </a:p>
                  <a:p>
                    <a:pPr>
                      <a:defRPr/>
                    </a:pPr>
                    <a:r>
                      <a:rPr lang="en-US" altLang="zh-CN"/>
                      <a:t>35%</a:t>
                    </a:r>
                    <a:endParaRPr lang="zh-CN" altLang="en-US"/>
                  </a:p>
                </c:rich>
              </c:tx>
              <c:spPr/>
              <c:dLblPos val="bestFit"/>
            </c:dLbl>
            <c:dLbl>
              <c:idx val="1"/>
              <c:tx>
                <c:rich>
                  <a:bodyPr/>
                  <a:lstStyle/>
                  <a:p>
                    <a:pPr>
                      <a:defRPr/>
                    </a:pPr>
                    <a:r>
                      <a:rPr lang="zh-CN" altLang="en-US"/>
                      <a:t>商标权</a:t>
                    </a:r>
                    <a:endParaRPr lang="en-US" altLang="zh-CN"/>
                  </a:p>
                  <a:p>
                    <a:pPr>
                      <a:defRPr/>
                    </a:pPr>
                    <a:r>
                      <a:rPr lang="en-US" altLang="zh-CN"/>
                      <a:t>3758</a:t>
                    </a:r>
                    <a:r>
                      <a:rPr lang="zh-CN" altLang="en-US"/>
                      <a:t>件</a:t>
                    </a:r>
                    <a:endParaRPr lang="en-US" altLang="zh-CN"/>
                  </a:p>
                  <a:p>
                    <a:pPr>
                      <a:defRPr/>
                    </a:pPr>
                    <a:r>
                      <a:rPr lang="en-US" altLang="zh-CN"/>
                      <a:t>47.5%</a:t>
                    </a:r>
                  </a:p>
                </c:rich>
              </c:tx>
              <c:spPr/>
              <c:dLblPos val="bestFit"/>
            </c:dLbl>
            <c:dLbl>
              <c:idx val="2"/>
              <c:layout>
                <c:manualLayout>
                  <c:x val="1.9370954958399546E-2"/>
                  <c:y val="-2.705453484981047E-2"/>
                </c:manualLayout>
              </c:layout>
              <c:tx>
                <c:rich>
                  <a:bodyPr/>
                  <a:lstStyle/>
                  <a:p>
                    <a:pPr>
                      <a:defRPr/>
                    </a:pPr>
                    <a:r>
                      <a:rPr lang="zh-CN" altLang="en-US"/>
                      <a:t>专利</a:t>
                    </a:r>
                    <a:endParaRPr lang="en-US" altLang="zh-CN"/>
                  </a:p>
                  <a:p>
                    <a:pPr>
                      <a:defRPr/>
                    </a:pPr>
                    <a:r>
                      <a:rPr lang="en-US" altLang="zh-CN"/>
                      <a:t>910</a:t>
                    </a:r>
                    <a:r>
                      <a:rPr lang="zh-CN" altLang="en-US"/>
                      <a:t>件</a:t>
                    </a:r>
                    <a:endParaRPr lang="en-US" altLang="zh-CN"/>
                  </a:p>
                  <a:p>
                    <a:pPr>
                      <a:defRPr/>
                    </a:pPr>
                    <a:r>
                      <a:rPr lang="en-US" altLang="zh-CN"/>
                      <a:t>11.5%</a:t>
                    </a:r>
                    <a:endParaRPr lang="zh-CN" altLang="en-US"/>
                  </a:p>
                </c:rich>
              </c:tx>
              <c:spPr/>
              <c:dLblPos val="bestFit"/>
            </c:dLbl>
            <c:dLbl>
              <c:idx val="3"/>
              <c:layout>
                <c:manualLayout>
                  <c:x val="6.8605180042934699E-2"/>
                  <c:y val="2.8519247594050778E-2"/>
                </c:manualLayout>
              </c:layout>
              <c:tx>
                <c:rich>
                  <a:bodyPr/>
                  <a:lstStyle/>
                  <a:p>
                    <a:pPr>
                      <a:defRPr/>
                    </a:pPr>
                    <a:r>
                      <a:rPr lang="zh-CN" altLang="en-US"/>
                      <a:t>技术合同</a:t>
                    </a:r>
                    <a:endParaRPr lang="en-US" altLang="zh-CN"/>
                  </a:p>
                  <a:p>
                    <a:pPr>
                      <a:defRPr/>
                    </a:pPr>
                    <a:r>
                      <a:rPr lang="en-US" altLang="zh-CN"/>
                      <a:t>88</a:t>
                    </a:r>
                    <a:r>
                      <a:rPr lang="zh-CN" altLang="en-US"/>
                      <a:t>件</a:t>
                    </a:r>
                    <a:endParaRPr lang="en-US" altLang="zh-CN"/>
                  </a:p>
                  <a:p>
                    <a:pPr>
                      <a:defRPr/>
                    </a:pPr>
                    <a:r>
                      <a:rPr lang="en-US" altLang="zh-CN"/>
                      <a:t>1%</a:t>
                    </a:r>
                  </a:p>
                </c:rich>
              </c:tx>
              <c:spPr/>
              <c:dLblPos val="bestFit"/>
            </c:dLbl>
            <c:dLbl>
              <c:idx val="4"/>
              <c:delete val="1"/>
            </c:dLbl>
            <c:dLbl>
              <c:idx val="5"/>
              <c:layout>
                <c:manualLayout>
                  <c:x val="3.7260304525667254E-2"/>
                  <c:y val="0.14004629629629659"/>
                </c:manualLayout>
              </c:layout>
              <c:tx>
                <c:rich>
                  <a:bodyPr/>
                  <a:lstStyle/>
                  <a:p>
                    <a:pPr>
                      <a:defRPr/>
                    </a:pPr>
                    <a:r>
                      <a:rPr lang="zh-CN" altLang="en-US"/>
                      <a:t>不正当竞争及其他</a:t>
                    </a:r>
                    <a:endParaRPr lang="en-US" altLang="zh-CN"/>
                  </a:p>
                  <a:p>
                    <a:pPr>
                      <a:defRPr/>
                    </a:pPr>
                    <a:r>
                      <a:rPr lang="en-US" altLang="zh-CN"/>
                      <a:t>385</a:t>
                    </a:r>
                    <a:r>
                      <a:rPr lang="zh-CN" altLang="en-US"/>
                      <a:t>件</a:t>
                    </a:r>
                    <a:endParaRPr lang="en-US" altLang="zh-CN"/>
                  </a:p>
                  <a:p>
                    <a:pPr>
                      <a:defRPr/>
                    </a:pPr>
                    <a:r>
                      <a:rPr lang="en-US" altLang="zh-CN"/>
                      <a:t> 5%</a:t>
                    </a:r>
                    <a:endParaRPr lang="zh-CN" altLang="en-US"/>
                  </a:p>
                </c:rich>
              </c:tx>
              <c:spPr/>
              <c:dLblPos val="bestFit"/>
            </c:dLbl>
            <c:showCatName val="1"/>
            <c:showLeaderLines val="1"/>
          </c:dLbls>
          <c:cat>
            <c:strRef>
              <c:f>Sheet1!$A$3:$A$7</c:f>
              <c:strCache>
                <c:ptCount val="5"/>
                <c:pt idx="0">
                  <c:v>著作权</c:v>
                </c:pt>
                <c:pt idx="1">
                  <c:v>商标权</c:v>
                </c:pt>
                <c:pt idx="2">
                  <c:v>专利</c:v>
                </c:pt>
                <c:pt idx="3">
                  <c:v>技术合同</c:v>
                </c:pt>
                <c:pt idx="4">
                  <c:v>不正当竞争及其他</c:v>
                </c:pt>
              </c:strCache>
            </c:strRef>
          </c:cat>
          <c:val>
            <c:numRef>
              <c:f>Sheet1!$B$3:$B$7</c:f>
              <c:numCache>
                <c:formatCode>0.0%</c:formatCode>
                <c:ptCount val="5"/>
                <c:pt idx="0" formatCode="0%">
                  <c:v>0.35000000000000009</c:v>
                </c:pt>
                <c:pt idx="1">
                  <c:v>0.47500000000000009</c:v>
                </c:pt>
                <c:pt idx="2">
                  <c:v>0.115</c:v>
                </c:pt>
                <c:pt idx="3" formatCode="0%">
                  <c:v>1.0000000000000004E-2</c:v>
                </c:pt>
                <c:pt idx="4" formatCode="0%">
                  <c:v>0.05</c:v>
                </c:pt>
              </c:numCache>
            </c:numRef>
          </c:val>
        </c:ser>
        <c:gapWidth val="180"/>
        <c:splitType val="pos"/>
        <c:splitPos val="1"/>
        <c:secondPieSize val="100"/>
      </c:ofPieChart>
      <c:spPr>
        <a:noFill/>
        <a:ln w="25400">
          <a:noFill/>
        </a:ln>
      </c:spPr>
    </c:plotArea>
    <c:plotVisOnly val="1"/>
    <c:dispBlanksAs val="gap"/>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0.02609</cdr:x>
      <cdr:y>0.3913</cdr:y>
    </cdr:from>
    <cdr:to>
      <cdr:x>0.05298</cdr:x>
      <cdr:y>0.68511</cdr:y>
    </cdr:to>
    <cdr:sp macro="" textlink="">
      <cdr:nvSpPr>
        <cdr:cNvPr id="2" name="TextBox 1"/>
        <cdr:cNvSpPr txBox="1"/>
      </cdr:nvSpPr>
      <cdr:spPr>
        <a:xfrm xmlns:a="http://schemas.openxmlformats.org/drawingml/2006/main">
          <a:off x="142876" y="1295400"/>
          <a:ext cx="152400" cy="923925"/>
        </a:xfrm>
        <a:prstGeom xmlns:a="http://schemas.openxmlformats.org/drawingml/2006/main" prst="rect">
          <a:avLst/>
        </a:prstGeom>
      </cdr:spPr>
      <cdr:txBody>
        <a:bodyPr xmlns:a="http://schemas.openxmlformats.org/drawingml/2006/main" vert="eaVert" wrap="square" rtlCol="0"/>
        <a:lstStyle xmlns:a="http://schemas.openxmlformats.org/drawingml/2006/main"/>
        <a:p xmlns:a="http://schemas.openxmlformats.org/drawingml/2006/main">
          <a:r>
            <a:rPr lang="zh-CN" altLang="en-US" sz="1100"/>
            <a:t>单位：件</a:t>
          </a:r>
        </a:p>
      </cdr:txBody>
    </cdr:sp>
  </cdr:relSizeAnchor>
</c:userShapes>
</file>

<file path=word/drawings/drawing2.xml><?xml version="1.0" encoding="utf-8"?>
<c:userShapes xmlns:c="http://schemas.openxmlformats.org/drawingml/2006/chart">
  <cdr:relSizeAnchor xmlns:cdr="http://schemas.openxmlformats.org/drawingml/2006/chartDrawing">
    <cdr:from>
      <cdr:x>0.15928</cdr:x>
      <cdr:y>0.81931</cdr:y>
    </cdr:from>
    <cdr:to>
      <cdr:x>0.27094</cdr:x>
      <cdr:y>0.93458</cdr:y>
    </cdr:to>
    <cdr:sp macro="" textlink="">
      <cdr:nvSpPr>
        <cdr:cNvPr id="3" name="TextBox 2"/>
        <cdr:cNvSpPr txBox="1"/>
      </cdr:nvSpPr>
      <cdr:spPr>
        <a:xfrm xmlns:a="http://schemas.openxmlformats.org/drawingml/2006/main">
          <a:off x="923925" y="2505074"/>
          <a:ext cx="647700" cy="352426"/>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altLang="zh-CN" sz="1100"/>
            <a:t>2017</a:t>
          </a:r>
          <a:r>
            <a:rPr lang="zh-CN" altLang="en-US" sz="1100"/>
            <a:t>年</a:t>
          </a:r>
        </a:p>
      </cdr:txBody>
    </cdr:sp>
  </cdr:relSizeAnchor>
  <cdr:relSizeAnchor xmlns:cdr="http://schemas.openxmlformats.org/drawingml/2006/chartDrawing">
    <cdr:from>
      <cdr:x>0.6117</cdr:x>
      <cdr:y>0.81931</cdr:y>
    </cdr:from>
    <cdr:to>
      <cdr:x>0.82314</cdr:x>
      <cdr:y>0.92327</cdr:y>
    </cdr:to>
    <cdr:sp macro="" textlink="">
      <cdr:nvSpPr>
        <cdr:cNvPr id="4" name="TextBox 3"/>
        <cdr:cNvSpPr txBox="1"/>
      </cdr:nvSpPr>
      <cdr:spPr>
        <a:xfrm xmlns:a="http://schemas.openxmlformats.org/drawingml/2006/main">
          <a:off x="4381499" y="3152778"/>
          <a:ext cx="1514476" cy="4000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altLang="zh-CN" sz="1100"/>
            <a:t>2013</a:t>
          </a:r>
          <a:r>
            <a:rPr lang="zh-CN" altLang="en-US" sz="1100"/>
            <a:t>年</a:t>
          </a:r>
          <a:r>
            <a:rPr lang="en-US" altLang="zh-CN" sz="1100"/>
            <a:t>-2017</a:t>
          </a:r>
          <a:r>
            <a:rPr lang="zh-CN" altLang="en-US" sz="1100"/>
            <a:t>年</a:t>
          </a:r>
        </a:p>
      </cdr:txBody>
    </cdr:sp>
  </cdr:relSizeAnchor>
  <cdr:relSizeAnchor xmlns:cdr="http://schemas.openxmlformats.org/drawingml/2006/chartDrawing">
    <cdr:from>
      <cdr:x>0.10505</cdr:x>
      <cdr:y>0.02181</cdr:y>
    </cdr:from>
    <cdr:to>
      <cdr:x>0.88531</cdr:x>
      <cdr:y>0.14019</cdr:y>
    </cdr:to>
    <cdr:sp macro="" textlink="">
      <cdr:nvSpPr>
        <cdr:cNvPr id="5" name="TextBox 4"/>
        <cdr:cNvSpPr txBox="1"/>
      </cdr:nvSpPr>
      <cdr:spPr>
        <a:xfrm xmlns:a="http://schemas.openxmlformats.org/drawingml/2006/main">
          <a:off x="752474" y="83915"/>
          <a:ext cx="5588859" cy="45553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zh-CN" altLang="en-US" sz="1400"/>
            <a:t>山东法院知识产权民事一审案件收案案由分布示意图</a:t>
          </a:r>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10</Pages>
  <Words>2569</Words>
  <Characters>2672</Characters>
  <Application>Microsoft Office Word</Application>
  <DocSecurity>0</DocSecurity>
  <Lines>106</Lines>
  <Paragraphs>31</Paragraphs>
  <ScaleCrop>false</ScaleCrop>
  <Company>Microsoft</Company>
  <LinksUpToDate>false</LinksUpToDate>
  <CharactersWithSpaces>5210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陈庆亮</dc:creator>
  <cp:lastModifiedBy>陈庆亮</cp:lastModifiedBy>
  <cp:revision>1</cp:revision>
  <dcterms:created xsi:type="dcterms:W3CDTF">2019-03-17T03:47:00Z</dcterms:created>
  <dcterms:modified xsi:type="dcterms:W3CDTF">2019-03-17T03:47:00Z</dcterms:modified>
</cp:coreProperties>
</file>